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A7" w:rsidRDefault="0099256F">
      <w:pPr>
        <w:pStyle w:val="Corpodetexto"/>
        <w:ind w:left="489"/>
        <w:rPr>
          <w:rFonts w:ascii="Times New Roman"/>
          <w:sz w:val="20"/>
        </w:rPr>
      </w:pPr>
      <w:bookmarkStart w:id="0" w:name="_GoBack"/>
      <w:r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17121776" wp14:editId="2C1AD4CC">
            <wp:simplePos x="0" y="0"/>
            <wp:positionH relativeFrom="column">
              <wp:posOffset>220345</wp:posOffset>
            </wp:positionH>
            <wp:positionV relativeFrom="paragraph">
              <wp:posOffset>81915</wp:posOffset>
            </wp:positionV>
            <wp:extent cx="594106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540" y="21268"/>
                <wp:lineTo x="2154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BA - Logo fundo branc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79"/>
                    <a:stretch/>
                  </pic:blipFill>
                  <pic:spPr bwMode="auto">
                    <a:xfrm>
                      <a:off x="0" y="0"/>
                      <a:ext cx="594106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419A7" w:rsidRDefault="005419A7">
      <w:pPr>
        <w:pStyle w:val="Corpodetexto"/>
        <w:spacing w:before="9"/>
        <w:rPr>
          <w:rFonts w:ascii="Times New Roman"/>
          <w:sz w:val="7"/>
        </w:rPr>
      </w:pPr>
    </w:p>
    <w:p w:rsidR="005419A7" w:rsidRDefault="0099256F">
      <w:pPr>
        <w:pStyle w:val="Ttulo"/>
      </w:pPr>
      <w:r>
        <w:t xml:space="preserve">Efeito da suplementação com extrato de acácia negra </w:t>
      </w:r>
      <w:proofErr w:type="gramStart"/>
      <w:r>
        <w:t xml:space="preserve">( </w:t>
      </w:r>
      <w:proofErr w:type="gramEnd"/>
      <w:r>
        <w:rPr>
          <w:i/>
        </w:rPr>
        <w:t xml:space="preserve">Acacia mearnsii) </w:t>
      </w:r>
      <w:r>
        <w:t>sobre a</w:t>
      </w:r>
      <w:r>
        <w:rPr>
          <w:spacing w:val="-64"/>
        </w:rPr>
        <w:t xml:space="preserve"> </w:t>
      </w:r>
      <w:r>
        <w:t>qualidade de carne e</w:t>
      </w:r>
      <w:r>
        <w:rPr>
          <w:spacing w:val="-3"/>
        </w:rPr>
        <w:t xml:space="preserve"> </w:t>
      </w:r>
      <w:r>
        <w:t>saúde intestinal</w:t>
      </w:r>
      <w:r>
        <w:rPr>
          <w:spacing w:val="3"/>
        </w:rPr>
        <w:t xml:space="preserve"> </w:t>
      </w:r>
      <w:r>
        <w:t>de frangos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corte</w:t>
      </w:r>
    </w:p>
    <w:p w:rsidR="005419A7" w:rsidRDefault="005419A7">
      <w:pPr>
        <w:pStyle w:val="Corpodetexto"/>
        <w:rPr>
          <w:rFonts w:ascii="Arial"/>
          <w:b/>
        </w:rPr>
      </w:pPr>
    </w:p>
    <w:p w:rsidR="005419A7" w:rsidRDefault="0099256F">
      <w:pPr>
        <w:pStyle w:val="Corpodetexto"/>
        <w:spacing w:before="1"/>
        <w:ind w:left="226"/>
        <w:jc w:val="both"/>
      </w:pPr>
      <w:r>
        <w:t>Bruna</w:t>
      </w:r>
      <w:r>
        <w:rPr>
          <w:spacing w:val="-3"/>
        </w:rPr>
        <w:t xml:space="preserve"> </w:t>
      </w:r>
      <w:r>
        <w:t>Poletti*</w:t>
      </w:r>
      <w:r>
        <w:rPr>
          <w:vertAlign w:val="superscript"/>
        </w:rPr>
        <w:t>1</w:t>
      </w:r>
      <w:r>
        <w:t>, Maitê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Vieira</w:t>
      </w:r>
      <w:r>
        <w:rPr>
          <w:vertAlign w:val="superscript"/>
        </w:rPr>
        <w:t>2</w:t>
      </w:r>
      <w:r>
        <w:t>, Alexandre</w:t>
      </w:r>
      <w:r>
        <w:rPr>
          <w:spacing w:val="-5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Kessler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Denise</w:t>
      </w:r>
      <w:r>
        <w:rPr>
          <w:spacing w:val="-1"/>
        </w:rPr>
        <w:t xml:space="preserve"> </w:t>
      </w:r>
      <w:r>
        <w:t>I.</w:t>
      </w:r>
      <w:r>
        <w:rPr>
          <w:spacing w:val="-5"/>
        </w:rPr>
        <w:t xml:space="preserve"> </w:t>
      </w:r>
      <w:proofErr w:type="gramStart"/>
      <w:r>
        <w:t>da</w:t>
      </w:r>
      <w:proofErr w:type="gramEnd"/>
      <w:r>
        <w:rPr>
          <w:spacing w:val="-1"/>
        </w:rPr>
        <w:t xml:space="preserve"> </w:t>
      </w:r>
      <w:r>
        <w:t>Silva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Fernanda</w:t>
      </w:r>
    </w:p>
    <w:p w:rsidR="005419A7" w:rsidRDefault="0099256F">
      <w:pPr>
        <w:pStyle w:val="Corpodetexto"/>
        <w:ind w:left="4295"/>
      </w:pPr>
      <w:r>
        <w:t>B. Viana</w:t>
      </w:r>
      <w:r>
        <w:rPr>
          <w:vertAlign w:val="superscript"/>
        </w:rPr>
        <w:t>2</w:t>
      </w:r>
    </w:p>
    <w:p w:rsidR="005419A7" w:rsidRDefault="0099256F">
      <w:pPr>
        <w:pStyle w:val="Corpodetexto"/>
        <w:ind w:left="474" w:right="466" w:hanging="1"/>
        <w:jc w:val="center"/>
      </w:pPr>
      <w:proofErr w:type="gramStart"/>
      <w:r>
        <w:rPr>
          <w:vertAlign w:val="superscript"/>
        </w:rPr>
        <w:t>1</w:t>
      </w:r>
      <w:r>
        <w:t>Departamento</w:t>
      </w:r>
      <w:proofErr w:type="gramEnd"/>
      <w:r>
        <w:t xml:space="preserve"> de Zootecnia Universidade Federal do Rio Grande do Sul, Porto</w:t>
      </w:r>
      <w:r>
        <w:rPr>
          <w:spacing w:val="1"/>
        </w:rPr>
        <w:t xml:space="preserve"> </w:t>
      </w:r>
      <w:r>
        <w:t xml:space="preserve">Alegre/RS, Brasil; </w:t>
      </w:r>
      <w:r>
        <w:rPr>
          <w:vertAlign w:val="superscript"/>
        </w:rPr>
        <w:t>2</w:t>
      </w:r>
      <w:r>
        <w:t>Universidade Federal do Rio Grande do Sul, Porto Alegre/RS,</w:t>
      </w:r>
      <w:r>
        <w:rPr>
          <w:spacing w:val="-64"/>
        </w:rPr>
        <w:t xml:space="preserve"> </w:t>
      </w:r>
      <w:r>
        <w:t>Brasil; *Doutoranda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hyperlink r:id="rId6">
        <w:r>
          <w:t>bruna.poletti@yahoo.com</w:t>
        </w:r>
      </w:hyperlink>
    </w:p>
    <w:p w:rsidR="005419A7" w:rsidRDefault="005419A7">
      <w:pPr>
        <w:pStyle w:val="Corpodetexto"/>
      </w:pPr>
    </w:p>
    <w:p w:rsidR="005419A7" w:rsidRDefault="0099256F">
      <w:pPr>
        <w:pStyle w:val="Corpodetexto"/>
        <w:ind w:left="118" w:right="109"/>
        <w:jc w:val="both"/>
      </w:pPr>
      <w:r>
        <w:t>Polifenóis,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taninos,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metabólitos</w:t>
      </w:r>
      <w:r>
        <w:rPr>
          <w:spacing w:val="1"/>
        </w:rPr>
        <w:t xml:space="preserve"> </w:t>
      </w:r>
      <w:r>
        <w:t>secundários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contêm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bioativos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produzir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positivos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animais.</w:t>
      </w:r>
      <w:r>
        <w:rPr>
          <w:spacing w:val="1"/>
        </w:rPr>
        <w:t xml:space="preserve"> </w:t>
      </w:r>
      <w:r>
        <w:t>Possuem</w:t>
      </w:r>
      <w:r>
        <w:rPr>
          <w:spacing w:val="1"/>
        </w:rPr>
        <w:t xml:space="preserve"> </w:t>
      </w:r>
      <w:r>
        <w:t>propriedades</w:t>
      </w:r>
      <w:r>
        <w:rPr>
          <w:spacing w:val="1"/>
        </w:rPr>
        <w:t xml:space="preserve"> </w:t>
      </w:r>
      <w:r>
        <w:t>antioxidantes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minimizam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estresse,</w:t>
      </w:r>
      <w:r>
        <w:rPr>
          <w:spacing w:val="1"/>
        </w:rPr>
        <w:t xml:space="preserve"> </w:t>
      </w:r>
      <w:r>
        <w:t>proporcionando uma s</w:t>
      </w:r>
      <w:r>
        <w:t>érie de benefícios para a saúde e desempenho dos animais e</w:t>
      </w:r>
      <w:r>
        <w:rPr>
          <w:spacing w:val="1"/>
        </w:rPr>
        <w:t xml:space="preserve"> </w:t>
      </w:r>
      <w:r>
        <w:t>qualidade dos produtos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 animal. O objetivo</w:t>
      </w:r>
      <w:r>
        <w:rPr>
          <w:spacing w:val="66"/>
        </w:rPr>
        <w:t xml:space="preserve"> </w:t>
      </w:r>
      <w:r>
        <w:t>do trabalho foi avaliar os efeitos</w:t>
      </w:r>
      <w:r>
        <w:rPr>
          <w:spacing w:val="1"/>
        </w:rPr>
        <w:t xml:space="preserve"> </w:t>
      </w:r>
      <w:r>
        <w:t>da suplementação da dieta com extrato de acácia negra sobre qualidade da carne e</w:t>
      </w:r>
      <w:r>
        <w:rPr>
          <w:spacing w:val="1"/>
        </w:rPr>
        <w:t xml:space="preserve"> </w:t>
      </w:r>
      <w:r>
        <w:t>saúde intestinal de frangos d</w:t>
      </w:r>
      <w:r>
        <w:t xml:space="preserve">e corte. Foram testados </w:t>
      </w:r>
      <w:proofErr w:type="gramStart"/>
      <w:r>
        <w:t>4</w:t>
      </w:r>
      <w:proofErr w:type="gramEnd"/>
      <w:r>
        <w:t xml:space="preserve"> dietas, com diferentes níveis de</w:t>
      </w:r>
      <w:r>
        <w:rPr>
          <w:spacing w:val="1"/>
        </w:rPr>
        <w:t xml:space="preserve"> </w:t>
      </w:r>
      <w:proofErr w:type="gramStart"/>
      <w:r>
        <w:t>inclusão</w:t>
      </w:r>
      <w:proofErr w:type="gramEnd"/>
      <w:r>
        <w:t xml:space="preserve"> de tanino: 0, 150, 300 e   450 mg kg</w:t>
      </w:r>
      <w:r>
        <w:rPr>
          <w:vertAlign w:val="superscript"/>
        </w:rPr>
        <w:t>-1</w:t>
      </w:r>
      <w:r>
        <w:t>, utilizando 160 frangos da linhagem</w:t>
      </w:r>
      <w:r>
        <w:rPr>
          <w:spacing w:val="1"/>
        </w:rPr>
        <w:t xml:space="preserve"> </w:t>
      </w:r>
      <w:r>
        <w:t>Label rouge, mistos, de 35 à 63 dias de idade. Os animais foram alojados em quatro</w:t>
      </w:r>
      <w:r>
        <w:rPr>
          <w:spacing w:val="1"/>
        </w:rPr>
        <w:t xml:space="preserve"> </w:t>
      </w:r>
      <w:r>
        <w:t xml:space="preserve">galinheirosos móveis, cada um </w:t>
      </w:r>
      <w:r>
        <w:t xml:space="preserve">contendo </w:t>
      </w:r>
      <w:proofErr w:type="gramStart"/>
      <w:r>
        <w:t>4</w:t>
      </w:r>
      <w:proofErr w:type="gramEnd"/>
      <w:r>
        <w:t xml:space="preserve"> boxes (10 animais por box). Os animais</w:t>
      </w:r>
      <w:r>
        <w:rPr>
          <w:spacing w:val="1"/>
        </w:rPr>
        <w:t xml:space="preserve"> </w:t>
      </w:r>
      <w:r>
        <w:t>foram mantidos em sistema de produção orgânico. Avaliou-se a qualidade da carne</w:t>
      </w:r>
      <w:r>
        <w:rPr>
          <w:spacing w:val="1"/>
        </w:rPr>
        <w:t xml:space="preserve"> </w:t>
      </w:r>
      <w:r>
        <w:t xml:space="preserve">através do teste de </w:t>
      </w:r>
      <w:r>
        <w:rPr>
          <w:color w:val="212121"/>
          <w:sz w:val="21"/>
        </w:rPr>
        <w:t xml:space="preserve">As </w:t>
      </w:r>
      <w:r>
        <w:rPr>
          <w:color w:val="212121"/>
        </w:rPr>
        <w:t xml:space="preserve">substâncias reativas ao ácido tiobarbitúrico (TBARS) e </w:t>
      </w:r>
      <w:r>
        <w:t>coloração</w:t>
      </w:r>
      <w:r>
        <w:rPr>
          <w:spacing w:val="-64"/>
        </w:rPr>
        <w:t xml:space="preserve"> </w:t>
      </w:r>
      <w:r>
        <w:t>(L*,</w:t>
      </w:r>
      <w:r>
        <w:rPr>
          <w:spacing w:val="1"/>
        </w:rPr>
        <w:t xml:space="preserve"> </w:t>
      </w:r>
      <w:r>
        <w:t>a*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b*)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coxa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sobrecoxa;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intestinal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morfohistológica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vilosidades</w:t>
      </w:r>
      <w:r>
        <w:rPr>
          <w:spacing w:val="1"/>
        </w:rPr>
        <w:t xml:space="preserve"> </w:t>
      </w:r>
      <w:r>
        <w:t>intestinais.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houve</w:t>
      </w:r>
      <w:r>
        <w:rPr>
          <w:spacing w:val="1"/>
        </w:rPr>
        <w:t xml:space="preserve"> </w:t>
      </w:r>
      <w:r>
        <w:t>diferença</w:t>
      </w:r>
      <w:r>
        <w:rPr>
          <w:spacing w:val="1"/>
        </w:rPr>
        <w:t xml:space="preserve"> </w:t>
      </w:r>
      <w:r>
        <w:t>significativa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oxidação lipídica (TBARS) da carne de frangos com a inclusão de tanino de acácia</w:t>
      </w:r>
      <w:r>
        <w:rPr>
          <w:spacing w:val="1"/>
        </w:rPr>
        <w:t xml:space="preserve"> </w:t>
      </w:r>
      <w:r>
        <w:t xml:space="preserve">negra na dieta (0,470; 0,445; 0,496 e 0,488 </w:t>
      </w:r>
      <w:proofErr w:type="gramStart"/>
      <w:r>
        <w:t>mg</w:t>
      </w:r>
      <w:proofErr w:type="gramEnd"/>
      <w:r>
        <w:t xml:space="preserve"> MDA kg</w:t>
      </w:r>
      <w:r>
        <w:rPr>
          <w:vertAlign w:val="superscript"/>
        </w:rPr>
        <w:t>-</w:t>
      </w:r>
      <w:r>
        <w:rPr>
          <w:vertAlign w:val="superscript"/>
        </w:rPr>
        <w:t>1</w:t>
      </w:r>
      <w:r>
        <w:t xml:space="preserve"> de carne para os tratamentos</w:t>
      </w:r>
      <w:r>
        <w:rPr>
          <w:spacing w:val="1"/>
        </w:rPr>
        <w:t xml:space="preserve"> </w:t>
      </w:r>
      <w:r>
        <w:t>0, 150, 300 e</w:t>
      </w:r>
      <w:r>
        <w:rPr>
          <w:spacing w:val="1"/>
        </w:rPr>
        <w:t xml:space="preserve"> </w:t>
      </w:r>
      <w:r>
        <w:t>450 mg kg</w:t>
      </w:r>
      <w:r>
        <w:rPr>
          <w:vertAlign w:val="superscript"/>
        </w:rPr>
        <w:t>-1</w:t>
      </w:r>
      <w:r>
        <w:t>, respectivamente). As aves que receberam 150mg kg</w:t>
      </w:r>
      <w:r>
        <w:rPr>
          <w:vertAlign w:val="superscript"/>
        </w:rPr>
        <w:t>-1</w:t>
      </w:r>
      <w:r>
        <w:t xml:space="preserve"> de</w:t>
      </w:r>
      <w:r>
        <w:rPr>
          <w:spacing w:val="1"/>
        </w:rPr>
        <w:t xml:space="preserve"> </w:t>
      </w:r>
      <w:r>
        <w:t>tanino na dieta resultaram em carnes com menor oxidação lipídica, ou seja, com maior</w:t>
      </w:r>
      <w:r>
        <w:rPr>
          <w:spacing w:val="1"/>
        </w:rPr>
        <w:t xml:space="preserve"> </w:t>
      </w:r>
      <w:r>
        <w:t>qualidade. Quanto à coloração da carne também não houve dif</w:t>
      </w:r>
      <w:r>
        <w:t>erença estatística entre</w:t>
      </w:r>
      <w:r>
        <w:rPr>
          <w:spacing w:val="1"/>
        </w:rPr>
        <w:t xml:space="preserve"> </w:t>
      </w:r>
      <w:r>
        <w:t>os tratamentos, todavia, tratamentos com inclusão de tanino na dieta, apresentaram</w:t>
      </w:r>
      <w:r>
        <w:rPr>
          <w:spacing w:val="1"/>
        </w:rPr>
        <w:t xml:space="preserve"> </w:t>
      </w:r>
      <w:r>
        <w:t>valores de luminosidade (L*) maiores: 44,69 e 46,79 para sobrecoxa e, 52,42 e 53,00</w:t>
      </w:r>
      <w:r>
        <w:rPr>
          <w:spacing w:val="1"/>
        </w:rPr>
        <w:t xml:space="preserve"> </w:t>
      </w:r>
      <w:r>
        <w:t xml:space="preserve">para coxa, nos tratamentos </w:t>
      </w:r>
      <w:proofErr w:type="gramStart"/>
      <w:r>
        <w:t>0</w:t>
      </w:r>
      <w:proofErr w:type="gramEnd"/>
      <w:r>
        <w:t xml:space="preserve"> e 450 mg kg</w:t>
      </w:r>
      <w:r>
        <w:rPr>
          <w:vertAlign w:val="superscript"/>
        </w:rPr>
        <w:t>-1</w:t>
      </w:r>
      <w:r>
        <w:t>, respectivamente, dem</w:t>
      </w:r>
      <w:r>
        <w:t>onstrando potencial</w:t>
      </w:r>
      <w:r>
        <w:rPr>
          <w:spacing w:val="1"/>
        </w:rPr>
        <w:t xml:space="preserve"> </w:t>
      </w:r>
      <w:r>
        <w:t>do aditivo em relação à esta característica. Em relação à saúde intestinal dos animais,</w:t>
      </w:r>
      <w:r>
        <w:rPr>
          <w:spacing w:val="1"/>
        </w:rPr>
        <w:t xml:space="preserve"> </w:t>
      </w:r>
      <w:r>
        <w:t>não houve diferença significativa entre as alturas e larguras de vilosidade dos intestinos</w:t>
      </w:r>
      <w:r>
        <w:rPr>
          <w:spacing w:val="-64"/>
        </w:rPr>
        <w:t xml:space="preserve"> </w:t>
      </w:r>
      <w:r>
        <w:t>(P&gt;0,05).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tanino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prejudicou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desenvolvimento do trato digestivo das aves. Numericamente, as alturas e larguras de</w:t>
      </w:r>
      <w:r>
        <w:rPr>
          <w:spacing w:val="1"/>
        </w:rPr>
        <w:t xml:space="preserve"> </w:t>
      </w:r>
      <w:r>
        <w:t>vilosidades dos intestinos de frangos recebendo tanino na dieta foram maiores: 998,5;</w:t>
      </w:r>
      <w:r>
        <w:rPr>
          <w:spacing w:val="1"/>
        </w:rPr>
        <w:t xml:space="preserve"> </w:t>
      </w:r>
      <w:r>
        <w:t>1033,5; 1014,4 e 1058,8 µm de altura e 94,2; 94,9; 121 e 103,7 µm de</w:t>
      </w:r>
      <w:r>
        <w:t xml:space="preserve"> largura para 0,</w:t>
      </w:r>
      <w:r>
        <w:rPr>
          <w:spacing w:val="1"/>
        </w:rPr>
        <w:t xml:space="preserve"> </w:t>
      </w:r>
      <w:r>
        <w:t>150, 300 e</w:t>
      </w:r>
      <w:r>
        <w:rPr>
          <w:spacing w:val="67"/>
        </w:rPr>
        <w:t xml:space="preserve"> </w:t>
      </w:r>
      <w:r>
        <w:t xml:space="preserve">450 </w:t>
      </w:r>
      <w:proofErr w:type="gramStart"/>
      <w:r>
        <w:t>mg</w:t>
      </w:r>
      <w:proofErr w:type="gramEnd"/>
      <w:r>
        <w:t xml:space="preserve"> kg</w:t>
      </w:r>
      <w:r>
        <w:rPr>
          <w:vertAlign w:val="superscript"/>
        </w:rPr>
        <w:t>-1</w:t>
      </w:r>
      <w:r>
        <w:t>, respectivamente. A maior altura e largura de vilosidade</w:t>
      </w:r>
      <w:r>
        <w:rPr>
          <w:spacing w:val="1"/>
        </w:rPr>
        <w:t xml:space="preserve"> </w:t>
      </w:r>
      <w:r>
        <w:t>indicam, biologicamente, maior superfície para absorção de nutrientes a nível intestinal.</w:t>
      </w:r>
      <w:r>
        <w:rPr>
          <w:spacing w:val="-64"/>
        </w:rPr>
        <w:t xml:space="preserve"> </w:t>
      </w:r>
      <w:r>
        <w:t xml:space="preserve">O uso de extrato de acácia negra como aditivo na dieta de frangos de </w:t>
      </w:r>
      <w:r>
        <w:t>corte apresenta</w:t>
      </w:r>
      <w:r>
        <w:rPr>
          <w:spacing w:val="1"/>
        </w:rPr>
        <w:t xml:space="preserve"> </w:t>
      </w:r>
      <w:r>
        <w:t>resultados promissores em relação à oxidação lipídica e coloração da carne, além de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melhora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absorção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nutrientes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 das vilosidades intestinais; desmistificando as reações adversas do</w:t>
      </w:r>
      <w:r>
        <w:rPr>
          <w:spacing w:val="1"/>
        </w:rPr>
        <w:t xml:space="preserve"> </w:t>
      </w:r>
      <w:r>
        <w:t>uso de taninos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dieta de</w:t>
      </w:r>
      <w:r>
        <w:rPr>
          <w:spacing w:val="-2"/>
        </w:rPr>
        <w:t xml:space="preserve"> </w:t>
      </w:r>
      <w:r>
        <w:t>não ruminantes.</w:t>
      </w:r>
    </w:p>
    <w:p w:rsidR="005419A7" w:rsidRDefault="005419A7">
      <w:pPr>
        <w:pStyle w:val="Corpodetexto"/>
        <w:spacing w:before="11"/>
        <w:rPr>
          <w:sz w:val="23"/>
        </w:rPr>
      </w:pPr>
    </w:p>
    <w:p w:rsidR="005419A7" w:rsidRDefault="0099256F">
      <w:pPr>
        <w:pStyle w:val="Corpodetexto"/>
        <w:spacing w:line="480" w:lineRule="auto"/>
        <w:ind w:left="118" w:right="980"/>
      </w:pPr>
      <w:r>
        <w:rPr>
          <w:rFonts w:ascii="Arial" w:hAnsi="Arial"/>
          <w:b/>
        </w:rPr>
        <w:t>Palavras-chave</w:t>
      </w:r>
      <w:r>
        <w:t>: oxidação lipidica, polifenóis, vilosidade intestinal, cor da carne</w:t>
      </w:r>
      <w:r>
        <w:rPr>
          <w:spacing w:val="-64"/>
        </w:rPr>
        <w:t xml:space="preserve"> </w:t>
      </w:r>
      <w:r>
        <w:t>Agradecimentos: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granja</w:t>
      </w:r>
      <w:r>
        <w:rPr>
          <w:spacing w:val="-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Passiflora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proofErr w:type="gramStart"/>
      <w:r>
        <w:t>Seta</w:t>
      </w:r>
      <w:proofErr w:type="gramEnd"/>
    </w:p>
    <w:p w:rsidR="005419A7" w:rsidRDefault="0099256F">
      <w:pPr>
        <w:tabs>
          <w:tab w:val="left" w:pos="3186"/>
          <w:tab w:val="right" w:pos="9471"/>
        </w:tabs>
        <w:spacing w:before="104"/>
        <w:ind w:left="11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ISSN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2525-9873</w:t>
      </w:r>
      <w:r>
        <w:rPr>
          <w:rFonts w:ascii="Times New Roman" w:hAnsi="Times New Roman"/>
          <w:b/>
          <w:sz w:val="20"/>
        </w:rPr>
        <w:tab/>
        <w:t>Anais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 3º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WCBA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Santa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Maria/RS</w:t>
      </w:r>
      <w:r>
        <w:rPr>
          <w:rFonts w:ascii="Times New Roman" w:hAnsi="Times New Roman"/>
          <w:b/>
          <w:sz w:val="20"/>
        </w:rPr>
        <w:tab/>
        <w:t>1</w:t>
      </w:r>
    </w:p>
    <w:sectPr w:rsidR="005419A7">
      <w:type w:val="continuous"/>
      <w:pgSz w:w="11910" w:h="16840"/>
      <w:pgMar w:top="8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19A7"/>
    <w:rsid w:val="005419A7"/>
    <w:rsid w:val="009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210" w:right="20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925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6F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210" w:right="20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925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6F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una.poletti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claro e conciso com um máximo de vinte palavras, centralizado, negrito, em fonte Times New Roman 12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Quellen</cp:lastModifiedBy>
  <cp:revision>2</cp:revision>
  <dcterms:created xsi:type="dcterms:W3CDTF">2021-06-08T00:30:00Z</dcterms:created>
  <dcterms:modified xsi:type="dcterms:W3CDTF">2021-06-08T00:30:00Z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