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E05F" w14:textId="33FBB8A9" w:rsidR="00FA7E31" w:rsidRPr="00FA7E31" w:rsidRDefault="00FA7E31" w:rsidP="00FA7E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A7E31">
        <w:rPr>
          <w:rFonts w:ascii="Arial" w:hAnsi="Arial" w:cs="Arial"/>
          <w:b/>
          <w:i/>
          <w:iCs/>
          <w:sz w:val="24"/>
          <w:szCs w:val="24"/>
          <w:lang w:val="en-US"/>
        </w:rPr>
        <w:t>In vivo</w:t>
      </w:r>
      <w:r w:rsidRPr="00FA7E31">
        <w:rPr>
          <w:rFonts w:ascii="Arial" w:hAnsi="Arial" w:cs="Arial"/>
          <w:b/>
          <w:sz w:val="24"/>
          <w:szCs w:val="24"/>
          <w:lang w:val="en-US"/>
        </w:rPr>
        <w:t xml:space="preserve"> antioxidant potential of </w:t>
      </w:r>
      <w:r w:rsidRPr="00FA7E31">
        <w:rPr>
          <w:rFonts w:ascii="Arial" w:hAnsi="Arial" w:cs="Arial"/>
          <w:b/>
          <w:i/>
          <w:iCs/>
          <w:sz w:val="24"/>
          <w:szCs w:val="24"/>
          <w:lang w:val="en-US"/>
        </w:rPr>
        <w:t>Eugenia involucrata</w:t>
      </w:r>
      <w:r w:rsidRPr="00FA7E31">
        <w:rPr>
          <w:rFonts w:ascii="Arial" w:hAnsi="Arial" w:cs="Arial"/>
          <w:b/>
          <w:sz w:val="24"/>
          <w:szCs w:val="24"/>
          <w:lang w:val="en-US"/>
        </w:rPr>
        <w:t xml:space="preserve"> DC. fruits: 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 w:rsidRPr="00FA7E31">
        <w:rPr>
          <w:rFonts w:ascii="Arial" w:hAnsi="Arial" w:cs="Arial"/>
          <w:b/>
          <w:sz w:val="24"/>
          <w:szCs w:val="24"/>
          <w:lang w:val="en-US"/>
        </w:rPr>
        <w:t>ffects on oxidative stress parameters in rats submitted to a type 2 diabetes model</w:t>
      </w:r>
    </w:p>
    <w:p w14:paraId="3A3653BD" w14:textId="77777777" w:rsidR="00FA7E31" w:rsidRDefault="00FA7E31" w:rsidP="00CA40BA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2F7629F" w14:textId="23457215" w:rsidR="00CA40BA" w:rsidRPr="00FA7E31" w:rsidRDefault="00145BCD" w:rsidP="00CA40BA">
      <w:pPr>
        <w:jc w:val="center"/>
        <w:rPr>
          <w:rFonts w:ascii="Arial" w:hAnsi="Arial" w:cs="Arial"/>
          <w:sz w:val="24"/>
          <w:szCs w:val="24"/>
        </w:rPr>
      </w:pPr>
      <w:r w:rsidRPr="00FA7E31">
        <w:rPr>
          <w:rFonts w:ascii="Arial" w:hAnsi="Arial" w:cs="Arial"/>
          <w:sz w:val="24"/>
          <w:szCs w:val="24"/>
        </w:rPr>
        <w:t>Sabrina Somacal*</w:t>
      </w:r>
      <w:r w:rsidRPr="00FA7E31">
        <w:rPr>
          <w:rFonts w:ascii="Arial" w:hAnsi="Arial" w:cs="Arial"/>
          <w:sz w:val="24"/>
          <w:szCs w:val="24"/>
          <w:vertAlign w:val="superscript"/>
        </w:rPr>
        <w:t>1</w:t>
      </w:r>
      <w:r w:rsidRPr="00FA7E31">
        <w:rPr>
          <w:rFonts w:ascii="Arial" w:hAnsi="Arial" w:cs="Arial"/>
          <w:sz w:val="24"/>
          <w:szCs w:val="24"/>
        </w:rPr>
        <w:t xml:space="preserve">, </w:t>
      </w:r>
      <w:r w:rsidR="00C87FAB" w:rsidRPr="00FA7E31">
        <w:rPr>
          <w:rFonts w:ascii="Arial" w:hAnsi="Arial" w:cs="Arial"/>
          <w:sz w:val="24"/>
          <w:szCs w:val="24"/>
        </w:rPr>
        <w:t>Isabella F. Costa</w:t>
      </w:r>
      <w:r w:rsidR="00C87FAB" w:rsidRPr="00FA7E31">
        <w:rPr>
          <w:rFonts w:ascii="Arial" w:hAnsi="Arial" w:cs="Arial"/>
          <w:sz w:val="24"/>
          <w:szCs w:val="24"/>
          <w:vertAlign w:val="superscript"/>
        </w:rPr>
        <w:t>1</w:t>
      </w:r>
      <w:r w:rsidR="00C87FAB" w:rsidRPr="00FA7E31">
        <w:rPr>
          <w:rFonts w:ascii="Arial" w:hAnsi="Arial" w:cs="Arial"/>
          <w:sz w:val="24"/>
          <w:szCs w:val="24"/>
        </w:rPr>
        <w:t xml:space="preserve">, </w:t>
      </w:r>
      <w:r w:rsidR="005611FD" w:rsidRPr="00FA7E31">
        <w:rPr>
          <w:rFonts w:ascii="Arial" w:hAnsi="Arial" w:cs="Arial"/>
          <w:sz w:val="24"/>
          <w:szCs w:val="24"/>
        </w:rPr>
        <w:t>Franciele A. Smaniotto</w:t>
      </w:r>
      <w:r w:rsidR="005611FD" w:rsidRPr="00FA7E31">
        <w:rPr>
          <w:rFonts w:ascii="Arial" w:hAnsi="Arial" w:cs="Arial"/>
          <w:sz w:val="24"/>
          <w:szCs w:val="24"/>
          <w:vertAlign w:val="superscript"/>
        </w:rPr>
        <w:t>1</w:t>
      </w:r>
      <w:r w:rsidR="005611FD" w:rsidRPr="00FA7E31">
        <w:rPr>
          <w:rFonts w:ascii="Arial" w:hAnsi="Arial" w:cs="Arial"/>
          <w:sz w:val="24"/>
          <w:szCs w:val="24"/>
        </w:rPr>
        <w:t xml:space="preserve">, </w:t>
      </w:r>
      <w:r w:rsidR="001C0B32" w:rsidRPr="00FA7E31">
        <w:rPr>
          <w:rFonts w:ascii="Arial" w:hAnsi="Arial" w:cs="Arial"/>
          <w:sz w:val="24"/>
          <w:szCs w:val="24"/>
        </w:rPr>
        <w:t>Greicy M. M. Conterato</w:t>
      </w:r>
      <w:r w:rsidR="001C0B32" w:rsidRPr="00FA7E31">
        <w:rPr>
          <w:rFonts w:ascii="Arial" w:hAnsi="Arial" w:cs="Arial"/>
          <w:sz w:val="24"/>
          <w:szCs w:val="24"/>
          <w:vertAlign w:val="superscript"/>
        </w:rPr>
        <w:t>2</w:t>
      </w:r>
      <w:r w:rsidR="001C0B32" w:rsidRPr="00FA7E31">
        <w:rPr>
          <w:rFonts w:ascii="Arial" w:hAnsi="Arial" w:cs="Arial"/>
          <w:sz w:val="24"/>
          <w:szCs w:val="24"/>
        </w:rPr>
        <w:t>,</w:t>
      </w:r>
      <w:r w:rsidR="001C0B32" w:rsidRPr="00FA7E3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611FD" w:rsidRPr="00FA7E31">
        <w:rPr>
          <w:rFonts w:ascii="Arial" w:hAnsi="Arial" w:cs="Arial"/>
          <w:sz w:val="24"/>
          <w:szCs w:val="24"/>
        </w:rPr>
        <w:t>Tatiana Emanuelli</w:t>
      </w:r>
      <w:r w:rsidR="005611FD" w:rsidRPr="00FA7E31">
        <w:rPr>
          <w:rFonts w:ascii="Arial" w:hAnsi="Arial" w:cs="Arial"/>
          <w:sz w:val="24"/>
          <w:szCs w:val="24"/>
          <w:vertAlign w:val="superscript"/>
        </w:rPr>
        <w:t>1</w:t>
      </w:r>
      <w:r w:rsidR="005611FD" w:rsidRPr="00FA7E31">
        <w:rPr>
          <w:rFonts w:ascii="Arial" w:hAnsi="Arial" w:cs="Arial"/>
          <w:sz w:val="24"/>
          <w:szCs w:val="24"/>
        </w:rPr>
        <w:t xml:space="preserve"> </w:t>
      </w:r>
    </w:p>
    <w:p w14:paraId="378F2416" w14:textId="009ECB0B" w:rsidR="00CA40BA" w:rsidRPr="00FA7E31" w:rsidRDefault="00D015BE" w:rsidP="00CA40BA">
      <w:pPr>
        <w:jc w:val="center"/>
        <w:rPr>
          <w:rFonts w:ascii="Arial" w:hAnsi="Arial" w:cs="Arial"/>
          <w:sz w:val="24"/>
          <w:szCs w:val="24"/>
        </w:rPr>
      </w:pPr>
      <w:r w:rsidRPr="00FA7E31">
        <w:rPr>
          <w:rFonts w:ascii="Arial" w:hAnsi="Arial" w:cs="Arial"/>
          <w:sz w:val="24"/>
          <w:szCs w:val="24"/>
          <w:vertAlign w:val="superscript"/>
        </w:rPr>
        <w:t>1</w:t>
      </w:r>
      <w:r w:rsidR="005611FD" w:rsidRPr="00FA7E31">
        <w:rPr>
          <w:rFonts w:ascii="Arial" w:hAnsi="Arial" w:cs="Arial"/>
          <w:sz w:val="24"/>
          <w:szCs w:val="24"/>
        </w:rPr>
        <w:t>Federal Unive</w:t>
      </w:r>
      <w:r w:rsidR="00240FF2" w:rsidRPr="00FA7E31">
        <w:rPr>
          <w:rFonts w:ascii="Arial" w:hAnsi="Arial" w:cs="Arial"/>
          <w:sz w:val="24"/>
          <w:szCs w:val="24"/>
        </w:rPr>
        <w:t>r</w:t>
      </w:r>
      <w:r w:rsidR="005611FD" w:rsidRPr="00FA7E31">
        <w:rPr>
          <w:rFonts w:ascii="Arial" w:hAnsi="Arial" w:cs="Arial"/>
          <w:sz w:val="24"/>
          <w:szCs w:val="24"/>
        </w:rPr>
        <w:t>sity</w:t>
      </w:r>
      <w:r w:rsidR="00240FF2" w:rsidRPr="00FA7E31">
        <w:rPr>
          <w:rFonts w:ascii="Arial" w:hAnsi="Arial" w:cs="Arial"/>
          <w:sz w:val="24"/>
          <w:szCs w:val="24"/>
        </w:rPr>
        <w:t xml:space="preserve"> </w:t>
      </w:r>
      <w:r w:rsidR="005611FD" w:rsidRPr="00FA7E31">
        <w:rPr>
          <w:rFonts w:ascii="Arial" w:hAnsi="Arial" w:cs="Arial"/>
          <w:sz w:val="24"/>
          <w:szCs w:val="24"/>
        </w:rPr>
        <w:t xml:space="preserve">of </w:t>
      </w:r>
      <w:r w:rsidR="003A1F60" w:rsidRPr="00FA7E31">
        <w:rPr>
          <w:rFonts w:ascii="Arial" w:hAnsi="Arial" w:cs="Arial"/>
          <w:sz w:val="24"/>
          <w:szCs w:val="24"/>
        </w:rPr>
        <w:t>Santa Maria</w:t>
      </w:r>
      <w:r w:rsidR="00322950" w:rsidRPr="00FA7E31">
        <w:rPr>
          <w:rFonts w:ascii="Arial" w:hAnsi="Arial" w:cs="Arial"/>
          <w:sz w:val="24"/>
          <w:szCs w:val="24"/>
        </w:rPr>
        <w:t xml:space="preserve">, </w:t>
      </w:r>
      <w:r w:rsidR="003A1F60" w:rsidRPr="00FA7E31">
        <w:rPr>
          <w:rFonts w:ascii="Arial" w:hAnsi="Arial" w:cs="Arial"/>
          <w:sz w:val="24"/>
          <w:szCs w:val="24"/>
        </w:rPr>
        <w:t>Santa Maria</w:t>
      </w:r>
      <w:r w:rsidR="00322950" w:rsidRPr="00FA7E31">
        <w:rPr>
          <w:rFonts w:ascii="Arial" w:hAnsi="Arial" w:cs="Arial"/>
          <w:sz w:val="24"/>
          <w:szCs w:val="24"/>
        </w:rPr>
        <w:t>/R</w:t>
      </w:r>
      <w:r w:rsidR="003A1F60" w:rsidRPr="00FA7E31">
        <w:rPr>
          <w:rFonts w:ascii="Arial" w:hAnsi="Arial" w:cs="Arial"/>
          <w:sz w:val="24"/>
          <w:szCs w:val="24"/>
        </w:rPr>
        <w:t>S</w:t>
      </w:r>
      <w:r w:rsidR="005611FD" w:rsidRPr="00FA7E31">
        <w:rPr>
          <w:rFonts w:ascii="Arial" w:hAnsi="Arial" w:cs="Arial"/>
          <w:sz w:val="24"/>
          <w:szCs w:val="24"/>
        </w:rPr>
        <w:t>, Brazil</w:t>
      </w:r>
      <w:r w:rsidR="00CA40BA" w:rsidRPr="00FA7E31">
        <w:rPr>
          <w:rFonts w:ascii="Arial" w:hAnsi="Arial" w:cs="Arial"/>
          <w:sz w:val="24"/>
          <w:szCs w:val="24"/>
        </w:rPr>
        <w:t xml:space="preserve">; </w:t>
      </w:r>
      <w:r w:rsidR="005611FD" w:rsidRPr="00FA7E31">
        <w:rPr>
          <w:rFonts w:ascii="Arial" w:hAnsi="Arial" w:cs="Arial"/>
          <w:sz w:val="24"/>
          <w:szCs w:val="24"/>
          <w:vertAlign w:val="superscript"/>
        </w:rPr>
        <w:t>2</w:t>
      </w:r>
      <w:r w:rsidR="003A1F60" w:rsidRPr="00FA7E31">
        <w:rPr>
          <w:rFonts w:ascii="Arial" w:hAnsi="Arial" w:cs="Arial"/>
          <w:sz w:val="24"/>
          <w:szCs w:val="24"/>
        </w:rPr>
        <w:t>F</w:t>
      </w:r>
      <w:r w:rsidR="005611FD" w:rsidRPr="00FA7E31">
        <w:rPr>
          <w:rFonts w:ascii="Arial" w:hAnsi="Arial" w:cs="Arial"/>
          <w:sz w:val="24"/>
          <w:szCs w:val="24"/>
        </w:rPr>
        <w:t>ederal University of Santa Catarina, Curitibanos/SC, Brazil</w:t>
      </w:r>
      <w:r w:rsidR="00D626B9" w:rsidRPr="00FA7E31">
        <w:rPr>
          <w:rFonts w:ascii="Arial" w:hAnsi="Arial" w:cs="Arial"/>
          <w:sz w:val="24"/>
          <w:szCs w:val="24"/>
        </w:rPr>
        <w:t>.</w:t>
      </w:r>
    </w:p>
    <w:p w14:paraId="09682DEC" w14:textId="501043A0" w:rsidR="00CA40BA" w:rsidRPr="00FA7E31" w:rsidRDefault="00D626B9" w:rsidP="00CA40BA">
      <w:pPr>
        <w:jc w:val="center"/>
        <w:rPr>
          <w:rFonts w:ascii="Arial" w:hAnsi="Arial" w:cs="Arial"/>
          <w:sz w:val="24"/>
          <w:szCs w:val="24"/>
        </w:rPr>
      </w:pPr>
      <w:r w:rsidRPr="00FA7E31">
        <w:rPr>
          <w:rFonts w:ascii="Arial" w:hAnsi="Arial" w:cs="Arial"/>
          <w:sz w:val="24"/>
          <w:szCs w:val="24"/>
        </w:rPr>
        <w:t>*</w:t>
      </w:r>
      <w:r w:rsidR="00145BCD" w:rsidRPr="00FA7E31">
        <w:rPr>
          <w:rFonts w:ascii="Arial" w:hAnsi="Arial" w:cs="Arial"/>
          <w:sz w:val="24"/>
          <w:szCs w:val="24"/>
        </w:rPr>
        <w:t>Posdoctoral</w:t>
      </w:r>
      <w:r w:rsidRPr="00FA7E31">
        <w:rPr>
          <w:rFonts w:ascii="Arial" w:hAnsi="Arial" w:cs="Arial"/>
          <w:sz w:val="24"/>
          <w:szCs w:val="24"/>
        </w:rPr>
        <w:t xml:space="preserve"> student </w:t>
      </w:r>
      <w:r w:rsidR="005611FD" w:rsidRPr="00FA7E31">
        <w:rPr>
          <w:rFonts w:ascii="Arial" w:hAnsi="Arial" w:cs="Arial"/>
          <w:sz w:val="24"/>
          <w:szCs w:val="24"/>
        </w:rPr>
        <w:t>–</w:t>
      </w:r>
      <w:r w:rsidRPr="00FA7E31">
        <w:rPr>
          <w:rFonts w:ascii="Arial" w:hAnsi="Arial" w:cs="Arial"/>
          <w:sz w:val="24"/>
          <w:szCs w:val="24"/>
        </w:rPr>
        <w:t xml:space="preserve"> </w:t>
      </w:r>
      <w:r w:rsidR="00914999" w:rsidRPr="00FA7E31">
        <w:rPr>
          <w:rFonts w:ascii="Arial" w:hAnsi="Arial" w:cs="Arial"/>
          <w:sz w:val="24"/>
          <w:szCs w:val="24"/>
        </w:rPr>
        <w:t>s_somacal</w:t>
      </w:r>
      <w:r w:rsidR="005611FD" w:rsidRPr="00FA7E31">
        <w:rPr>
          <w:rFonts w:ascii="Arial" w:hAnsi="Arial" w:cs="Arial"/>
          <w:sz w:val="24"/>
          <w:szCs w:val="24"/>
        </w:rPr>
        <w:t>@hotmail.com</w:t>
      </w:r>
    </w:p>
    <w:p w14:paraId="7CB6669C" w14:textId="23A0C474" w:rsidR="00CA40BA" w:rsidRPr="00FA7E31" w:rsidRDefault="00CA40BA" w:rsidP="00CA40BA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79DBC994" w14:textId="269CB9A0" w:rsidR="00FD4AF2" w:rsidRPr="00FA7E31" w:rsidRDefault="00BB6DFB" w:rsidP="00FD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C87FAB">
        <w:rPr>
          <w:rFonts w:ascii="Arial" w:hAnsi="Arial" w:cs="Arial"/>
          <w:sz w:val="24"/>
          <w:szCs w:val="24"/>
          <w:lang w:val="en-US"/>
        </w:rPr>
        <w:t xml:space="preserve">Type 2 diabetes </w:t>
      </w:r>
      <w:r w:rsidR="00C548AC" w:rsidRPr="00C87FAB">
        <w:rPr>
          <w:rFonts w:ascii="Arial" w:hAnsi="Arial" w:cs="Arial"/>
          <w:sz w:val="24"/>
          <w:szCs w:val="24"/>
          <w:lang w:val="en-US"/>
        </w:rPr>
        <w:t xml:space="preserve">(T2DM) </w:t>
      </w:r>
      <w:r w:rsidRPr="00C87FAB">
        <w:rPr>
          <w:rFonts w:ascii="Arial" w:hAnsi="Arial" w:cs="Arial"/>
          <w:sz w:val="24"/>
          <w:szCs w:val="24"/>
          <w:lang w:val="en-US"/>
        </w:rPr>
        <w:t xml:space="preserve">is characterized by hyperglycemia due to insufficient production of insulin or the inability of cells to respond properly to this hormone (a condition called insulin resistance). </w:t>
      </w:r>
      <w:r w:rsidR="00F848F5" w:rsidRPr="00C87FAB">
        <w:rPr>
          <w:rFonts w:ascii="Arial" w:hAnsi="Arial" w:cs="Arial"/>
          <w:sz w:val="24"/>
          <w:szCs w:val="24"/>
          <w:lang w:val="en-US"/>
        </w:rPr>
        <w:t>Oxidative stress has been proposed to be implicated in the causes of T2DM as well as in the progression of its long-term complications</w:t>
      </w:r>
      <w:r w:rsidR="00BE349D" w:rsidRPr="00C87FAB">
        <w:rPr>
          <w:rFonts w:ascii="Arial" w:hAnsi="Arial" w:cs="Arial"/>
          <w:sz w:val="24"/>
          <w:szCs w:val="24"/>
          <w:lang w:val="en-US"/>
        </w:rPr>
        <w:t>.</w:t>
      </w:r>
      <w:r w:rsidR="00F848F5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5A556F" w:rsidRPr="00C87FAB">
        <w:rPr>
          <w:rFonts w:ascii="Arial" w:hAnsi="Arial" w:cs="Arial"/>
          <w:i/>
          <w:iCs/>
          <w:sz w:val="24"/>
          <w:szCs w:val="24"/>
          <w:lang w:val="en-US"/>
        </w:rPr>
        <w:t>Eugenia involucrata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84065E" w:rsidRPr="00C87FAB">
        <w:rPr>
          <w:rFonts w:ascii="Arial" w:hAnsi="Arial" w:cs="Arial"/>
          <w:sz w:val="24"/>
          <w:szCs w:val="24"/>
          <w:lang w:val="en-US"/>
        </w:rPr>
        <w:t xml:space="preserve">DC. </w:t>
      </w:r>
      <w:r w:rsidR="00F848F5" w:rsidRPr="00C87FAB">
        <w:rPr>
          <w:rFonts w:ascii="Arial" w:hAnsi="Arial" w:cs="Arial"/>
          <w:sz w:val="24"/>
          <w:szCs w:val="24"/>
          <w:lang w:val="en-US"/>
        </w:rPr>
        <w:t xml:space="preserve">(Myrtaceae) </w:t>
      </w:r>
      <w:r w:rsidR="005A556F" w:rsidRPr="00C87FAB">
        <w:rPr>
          <w:rFonts w:ascii="Arial" w:hAnsi="Arial" w:cs="Arial"/>
          <w:sz w:val="24"/>
          <w:szCs w:val="24"/>
          <w:lang w:val="en-US"/>
        </w:rPr>
        <w:t>is a</w:t>
      </w:r>
      <w:r w:rsidR="00F848F5" w:rsidRPr="00C87FAB">
        <w:rPr>
          <w:rFonts w:ascii="Arial" w:hAnsi="Arial" w:cs="Arial"/>
          <w:sz w:val="24"/>
          <w:szCs w:val="24"/>
          <w:lang w:val="en-US"/>
        </w:rPr>
        <w:t>n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F848F5" w:rsidRPr="00C87FAB">
        <w:rPr>
          <w:rFonts w:ascii="Arial" w:hAnsi="Arial" w:cs="Arial"/>
          <w:sz w:val="24"/>
          <w:szCs w:val="24"/>
          <w:lang w:val="en-US"/>
        </w:rPr>
        <w:t xml:space="preserve">underutilized 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native </w:t>
      </w:r>
      <w:r w:rsidR="00BE349D" w:rsidRPr="00C87FAB">
        <w:rPr>
          <w:rFonts w:ascii="Arial" w:hAnsi="Arial" w:cs="Arial"/>
          <w:sz w:val="24"/>
          <w:szCs w:val="24"/>
          <w:lang w:val="en-US"/>
        </w:rPr>
        <w:t>tree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8D5908" w:rsidRPr="00C87FAB">
        <w:rPr>
          <w:rFonts w:ascii="Arial" w:hAnsi="Arial" w:cs="Arial"/>
          <w:sz w:val="24"/>
          <w:szCs w:val="24"/>
          <w:lang w:val="en-US"/>
        </w:rPr>
        <w:t>from Brazil</w:t>
      </w:r>
      <w:r w:rsidR="00C548AC" w:rsidRPr="00C87FAB">
        <w:rPr>
          <w:rFonts w:ascii="Arial" w:hAnsi="Arial" w:cs="Arial"/>
          <w:sz w:val="24"/>
          <w:szCs w:val="24"/>
          <w:lang w:val="en-US"/>
        </w:rPr>
        <w:t xml:space="preserve">, which biological potential remains scarcely explored, especially in </w:t>
      </w:r>
      <w:r w:rsidR="00C548AC" w:rsidRPr="00C87FAB">
        <w:rPr>
          <w:rFonts w:ascii="Arial" w:hAnsi="Arial" w:cs="Arial"/>
          <w:i/>
          <w:iCs/>
          <w:sz w:val="24"/>
          <w:szCs w:val="24"/>
          <w:lang w:val="en-US"/>
        </w:rPr>
        <w:t>in vivo</w:t>
      </w:r>
      <w:r w:rsidR="00C548AC" w:rsidRPr="00C87FAB">
        <w:rPr>
          <w:rFonts w:ascii="Arial" w:hAnsi="Arial" w:cs="Arial"/>
          <w:sz w:val="24"/>
          <w:szCs w:val="24"/>
          <w:lang w:val="en-US"/>
        </w:rPr>
        <w:t xml:space="preserve"> studies. </w:t>
      </w:r>
      <w:r w:rsidR="008D5908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This study </w:t>
      </w:r>
      <w:r w:rsidR="00C548AC" w:rsidRPr="00C87FAB">
        <w:rPr>
          <w:rFonts w:ascii="Arial" w:hAnsi="Arial" w:cs="Arial"/>
          <w:sz w:val="24"/>
          <w:szCs w:val="24"/>
          <w:lang w:val="en-US"/>
        </w:rPr>
        <w:t xml:space="preserve">aimed to assess the antioxidant potential </w:t>
      </w:r>
      <w:r w:rsidR="005A556F" w:rsidRPr="00C87FAB">
        <w:rPr>
          <w:rFonts w:ascii="Arial" w:hAnsi="Arial" w:cs="Arial"/>
          <w:sz w:val="24"/>
          <w:szCs w:val="24"/>
          <w:lang w:val="en-US"/>
        </w:rPr>
        <w:t>of the ethanol</w:t>
      </w:r>
      <w:r w:rsidR="00240FF2" w:rsidRPr="00C87FAB">
        <w:rPr>
          <w:rFonts w:ascii="Arial" w:hAnsi="Arial" w:cs="Arial"/>
          <w:sz w:val="24"/>
          <w:szCs w:val="24"/>
          <w:lang w:val="en-US"/>
        </w:rPr>
        <w:t>ic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 extract </w:t>
      </w:r>
      <w:r w:rsidR="00240FF2" w:rsidRPr="00C87FAB">
        <w:rPr>
          <w:rFonts w:ascii="Arial" w:hAnsi="Arial" w:cs="Arial"/>
          <w:sz w:val="24"/>
          <w:szCs w:val="24"/>
          <w:lang w:val="en-US"/>
        </w:rPr>
        <w:t xml:space="preserve">from fruits 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of </w:t>
      </w:r>
      <w:r w:rsidR="005A556F" w:rsidRPr="00C87FAB">
        <w:rPr>
          <w:rFonts w:ascii="Arial" w:hAnsi="Arial" w:cs="Arial"/>
          <w:i/>
          <w:iCs/>
          <w:sz w:val="24"/>
          <w:szCs w:val="24"/>
          <w:lang w:val="en-US"/>
        </w:rPr>
        <w:t>E.</w:t>
      </w:r>
      <w:r w:rsidR="00C548AC" w:rsidRPr="00C87FAB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5A556F" w:rsidRPr="00C87FAB">
        <w:rPr>
          <w:rFonts w:ascii="Arial" w:hAnsi="Arial" w:cs="Arial"/>
          <w:i/>
          <w:iCs/>
          <w:sz w:val="24"/>
          <w:szCs w:val="24"/>
          <w:lang w:val="en-US"/>
        </w:rPr>
        <w:t>involucrata</w:t>
      </w:r>
      <w:r w:rsidR="0084065E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C548AC" w:rsidRPr="00C87FAB">
        <w:rPr>
          <w:rFonts w:ascii="Arial" w:hAnsi="Arial" w:cs="Arial"/>
          <w:sz w:val="24"/>
          <w:szCs w:val="24"/>
          <w:lang w:val="en"/>
        </w:rPr>
        <w:t xml:space="preserve">in a model of T2DM in rats. </w:t>
      </w:r>
      <w:r w:rsidR="00C548AC" w:rsidRPr="00C87FAB">
        <w:rPr>
          <w:rFonts w:ascii="Arial" w:hAnsi="Arial" w:cs="Arial"/>
          <w:sz w:val="24"/>
          <w:szCs w:val="24"/>
          <w:lang w:val="en-US"/>
        </w:rPr>
        <w:t>A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dult </w:t>
      </w:r>
      <w:r w:rsidR="00256A15" w:rsidRPr="00C87FAB">
        <w:rPr>
          <w:rFonts w:ascii="Arial" w:hAnsi="Arial" w:cs="Arial"/>
          <w:sz w:val="24"/>
          <w:szCs w:val="24"/>
          <w:lang w:val="en-US"/>
        </w:rPr>
        <w:t xml:space="preserve">male </w:t>
      </w:r>
      <w:r w:rsidR="005A556F" w:rsidRPr="00C87FAB">
        <w:rPr>
          <w:rFonts w:ascii="Arial" w:hAnsi="Arial" w:cs="Arial"/>
          <w:sz w:val="24"/>
          <w:szCs w:val="24"/>
          <w:lang w:val="en-US"/>
        </w:rPr>
        <w:t>Wistar rats (CEUA/UFSM n. 2954100818)</w:t>
      </w:r>
      <w:r w:rsidR="00C548AC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were </w:t>
      </w:r>
      <w:r w:rsidR="00C548AC" w:rsidRPr="00C87FAB">
        <w:rPr>
          <w:rFonts w:ascii="Arial" w:hAnsi="Arial" w:cs="Arial"/>
          <w:sz w:val="24"/>
          <w:szCs w:val="24"/>
          <w:lang w:val="en-US"/>
        </w:rPr>
        <w:t>firstly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 divided into control (normal diet) and diabetic group (hypercaloric diet). On the 13th day after starting the</w:t>
      </w:r>
      <w:r w:rsidR="0049699F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hypercaloric diet, animals </w:t>
      </w:r>
      <w:r w:rsidR="0049699F" w:rsidRPr="00C87FAB">
        <w:rPr>
          <w:rFonts w:ascii="Arial" w:hAnsi="Arial" w:cs="Arial"/>
          <w:sz w:val="24"/>
          <w:szCs w:val="24"/>
          <w:lang w:val="en-US"/>
        </w:rPr>
        <w:t>from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 diabetic group received a single dose of streptozotocin (STZ) solution (40 mg</w:t>
      </w:r>
      <w:r w:rsidR="0084065E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5A556F" w:rsidRPr="00C87FAB">
        <w:rPr>
          <w:rFonts w:ascii="Arial" w:hAnsi="Arial" w:cs="Arial"/>
          <w:sz w:val="24"/>
          <w:szCs w:val="24"/>
          <w:lang w:val="en-US"/>
        </w:rPr>
        <w:t>kg</w:t>
      </w:r>
      <w:r w:rsidR="0084065E" w:rsidRPr="00C87FAB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="005A556F" w:rsidRPr="00C87FAB">
        <w:rPr>
          <w:rFonts w:ascii="Arial" w:hAnsi="Arial" w:cs="Arial"/>
          <w:sz w:val="24"/>
          <w:szCs w:val="24"/>
          <w:lang w:val="en-US"/>
        </w:rPr>
        <w:t>, 1 mL</w:t>
      </w:r>
      <w:r w:rsidR="0084065E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5A556F" w:rsidRPr="00C87FAB">
        <w:rPr>
          <w:rFonts w:ascii="Arial" w:hAnsi="Arial" w:cs="Arial"/>
          <w:sz w:val="24"/>
          <w:szCs w:val="24"/>
          <w:lang w:val="en-US"/>
        </w:rPr>
        <w:t>kg</w:t>
      </w:r>
      <w:r w:rsidR="0084065E" w:rsidRPr="00C87FAB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 b</w:t>
      </w:r>
      <w:r w:rsidR="00BE349D" w:rsidRPr="00C87FAB">
        <w:rPr>
          <w:rFonts w:ascii="Arial" w:hAnsi="Arial" w:cs="Arial"/>
          <w:sz w:val="24"/>
          <w:szCs w:val="24"/>
          <w:lang w:val="en-US"/>
        </w:rPr>
        <w:t>.w.</w:t>
      </w:r>
      <w:r w:rsidR="005A556F" w:rsidRPr="00C87FAB">
        <w:rPr>
          <w:rFonts w:ascii="Arial" w:hAnsi="Arial" w:cs="Arial"/>
          <w:sz w:val="24"/>
          <w:szCs w:val="24"/>
          <w:lang w:val="en-US"/>
        </w:rPr>
        <w:t>, i.p.). After verifying the induction of diabetes</w:t>
      </w:r>
      <w:r w:rsidR="00067517" w:rsidRPr="00C87FAB">
        <w:rPr>
          <w:rFonts w:ascii="Arial" w:hAnsi="Arial" w:cs="Arial"/>
          <w:sz w:val="24"/>
          <w:szCs w:val="24"/>
          <w:lang w:val="en-US"/>
        </w:rPr>
        <w:t xml:space="preserve"> (blood glucose </w:t>
      </w:r>
      <w:r w:rsidR="00067517" w:rsidRPr="00FA7E31">
        <w:rPr>
          <w:rFonts w:ascii="Arial" w:hAnsi="Arial" w:cs="Arial"/>
          <w:sz w:val="24"/>
          <w:szCs w:val="24"/>
          <w:lang w:val="en-US"/>
        </w:rPr>
        <w:t>&gt;150 mg dL</w:t>
      </w:r>
      <w:r w:rsidR="00067517" w:rsidRPr="00FA7E31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="00067517" w:rsidRPr="00FA7E31">
        <w:rPr>
          <w:rFonts w:ascii="Arial" w:hAnsi="Arial" w:cs="Arial"/>
          <w:sz w:val="24"/>
          <w:szCs w:val="24"/>
          <w:lang w:val="en-US"/>
        </w:rPr>
        <w:t>)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, the animals were subdivided into </w:t>
      </w:r>
      <w:r w:rsidR="0092111C" w:rsidRPr="00C87FAB">
        <w:rPr>
          <w:rFonts w:ascii="Arial" w:hAnsi="Arial" w:cs="Arial"/>
          <w:sz w:val="24"/>
          <w:szCs w:val="24"/>
          <w:lang w:val="en-US"/>
        </w:rPr>
        <w:t>four</w:t>
      </w:r>
      <w:r w:rsidR="005A556F" w:rsidRPr="00C87FAB">
        <w:rPr>
          <w:rFonts w:ascii="Arial" w:hAnsi="Arial" w:cs="Arial"/>
          <w:sz w:val="24"/>
          <w:szCs w:val="24"/>
          <w:lang w:val="en-US"/>
        </w:rPr>
        <w:t xml:space="preserve"> groups </w:t>
      </w:r>
      <w:r w:rsidR="004B7BF1" w:rsidRPr="00C87FAB">
        <w:rPr>
          <w:rFonts w:ascii="Arial" w:hAnsi="Arial" w:cs="Arial"/>
          <w:sz w:val="24"/>
          <w:szCs w:val="24"/>
          <w:lang w:val="en-US"/>
        </w:rPr>
        <w:t xml:space="preserve">that received orally 0.9% saline or </w:t>
      </w:r>
      <w:r w:rsidR="00BE349D" w:rsidRPr="00C87FAB">
        <w:rPr>
          <w:rFonts w:ascii="Arial" w:hAnsi="Arial" w:cs="Arial"/>
          <w:sz w:val="24"/>
          <w:szCs w:val="24"/>
          <w:lang w:val="en-US"/>
        </w:rPr>
        <w:t>a crude extract of</w:t>
      </w:r>
      <w:r w:rsidR="00BE349D" w:rsidRPr="00C87FAB">
        <w:rPr>
          <w:rFonts w:ascii="Arial" w:hAnsi="Arial" w:cs="Arial"/>
          <w:i/>
          <w:iCs/>
          <w:sz w:val="24"/>
          <w:szCs w:val="24"/>
          <w:lang w:val="en-US"/>
        </w:rPr>
        <w:t xml:space="preserve"> E. involucrata</w:t>
      </w:r>
      <w:r w:rsidR="00BE349D" w:rsidRPr="00C87FAB">
        <w:rPr>
          <w:rFonts w:ascii="Arial" w:hAnsi="Arial" w:cs="Arial"/>
          <w:sz w:val="24"/>
          <w:szCs w:val="24"/>
          <w:lang w:val="en-US"/>
        </w:rPr>
        <w:t xml:space="preserve"> fruits (EB) </w:t>
      </w:r>
      <w:r w:rsidR="005A556F" w:rsidRPr="00C87FAB">
        <w:rPr>
          <w:rFonts w:ascii="Arial" w:hAnsi="Arial" w:cs="Arial"/>
          <w:sz w:val="24"/>
          <w:szCs w:val="24"/>
          <w:lang w:val="en-US"/>
        </w:rPr>
        <w:t>at the daily dose of 60 mg of polyphenols</w:t>
      </w:r>
      <w:r w:rsidR="008D0D94" w:rsidRPr="00C87FAB">
        <w:rPr>
          <w:rFonts w:ascii="Arial" w:hAnsi="Arial" w:cs="Arial"/>
          <w:sz w:val="24"/>
          <w:szCs w:val="24"/>
          <w:lang w:val="en-US"/>
        </w:rPr>
        <w:t xml:space="preserve"> </w:t>
      </w:r>
      <w:r w:rsidR="005A556F" w:rsidRPr="005A556F">
        <w:rPr>
          <w:rFonts w:ascii="Arial" w:hAnsi="Arial" w:cs="Arial"/>
          <w:sz w:val="24"/>
          <w:szCs w:val="24"/>
          <w:lang w:val="en-US"/>
        </w:rPr>
        <w:t>kg</w:t>
      </w:r>
      <w:r w:rsidR="008D0D94" w:rsidRPr="008D0D94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="005A556F" w:rsidRPr="005A556F">
        <w:rPr>
          <w:rFonts w:ascii="Arial" w:hAnsi="Arial" w:cs="Arial"/>
          <w:sz w:val="24"/>
          <w:szCs w:val="24"/>
          <w:lang w:val="en-US"/>
        </w:rPr>
        <w:t xml:space="preserve"> </w:t>
      </w:r>
      <w:r w:rsidR="00561135">
        <w:rPr>
          <w:rFonts w:ascii="Arial" w:hAnsi="Arial" w:cs="Arial"/>
          <w:sz w:val="24"/>
          <w:szCs w:val="24"/>
          <w:lang w:val="en-US"/>
        </w:rPr>
        <w:t>b.w.</w:t>
      </w:r>
      <w:r w:rsidR="005A556F" w:rsidRPr="005A556F">
        <w:rPr>
          <w:rFonts w:ascii="Arial" w:hAnsi="Arial" w:cs="Arial"/>
          <w:sz w:val="24"/>
          <w:szCs w:val="24"/>
          <w:lang w:val="en-US"/>
        </w:rPr>
        <w:t xml:space="preserve"> for 21 days</w:t>
      </w:r>
      <w:r w:rsidR="00BE349D">
        <w:rPr>
          <w:rFonts w:ascii="Arial" w:hAnsi="Arial" w:cs="Arial"/>
          <w:sz w:val="24"/>
          <w:szCs w:val="24"/>
          <w:lang w:val="en-US"/>
        </w:rPr>
        <w:t xml:space="preserve"> as follows</w:t>
      </w:r>
      <w:r w:rsidR="005A556F" w:rsidRPr="005A556F">
        <w:rPr>
          <w:rFonts w:ascii="Arial" w:hAnsi="Arial" w:cs="Arial"/>
          <w:sz w:val="24"/>
          <w:szCs w:val="24"/>
          <w:lang w:val="en-US"/>
        </w:rPr>
        <w:t xml:space="preserve">: </w:t>
      </w:r>
      <w:r w:rsidR="00BE349D">
        <w:rPr>
          <w:rFonts w:ascii="Arial" w:hAnsi="Arial" w:cs="Arial"/>
          <w:sz w:val="24"/>
          <w:szCs w:val="24"/>
          <w:lang w:val="en-US"/>
        </w:rPr>
        <w:t xml:space="preserve">1) </w:t>
      </w:r>
      <w:r w:rsidR="005A556F" w:rsidRPr="005A556F">
        <w:rPr>
          <w:rFonts w:ascii="Arial" w:hAnsi="Arial" w:cs="Arial"/>
          <w:sz w:val="24"/>
          <w:szCs w:val="24"/>
          <w:lang w:val="en-US"/>
        </w:rPr>
        <w:t>non-diabetic control (0.9% saline, n=8)</w:t>
      </w:r>
      <w:r w:rsidR="00BE349D">
        <w:rPr>
          <w:rFonts w:ascii="Arial" w:hAnsi="Arial" w:cs="Arial"/>
          <w:sz w:val="24"/>
          <w:szCs w:val="24"/>
          <w:lang w:val="en-US"/>
        </w:rPr>
        <w:t>;</w:t>
      </w:r>
      <w:r w:rsidR="005A556F" w:rsidRPr="005A556F">
        <w:rPr>
          <w:rFonts w:ascii="Arial" w:hAnsi="Arial" w:cs="Arial"/>
          <w:sz w:val="24"/>
          <w:szCs w:val="24"/>
          <w:lang w:val="en-US"/>
        </w:rPr>
        <w:t xml:space="preserve"> </w:t>
      </w:r>
      <w:r w:rsidR="00BE349D">
        <w:rPr>
          <w:rFonts w:ascii="Arial" w:hAnsi="Arial" w:cs="Arial"/>
          <w:sz w:val="24"/>
          <w:szCs w:val="24"/>
          <w:lang w:val="en-US"/>
        </w:rPr>
        <w:t xml:space="preserve">2) </w:t>
      </w:r>
      <w:r w:rsidR="005A556F" w:rsidRPr="005A556F">
        <w:rPr>
          <w:rFonts w:ascii="Arial" w:hAnsi="Arial" w:cs="Arial"/>
          <w:sz w:val="24"/>
          <w:szCs w:val="24"/>
          <w:lang w:val="en-US"/>
        </w:rPr>
        <w:t>non-diabetic + extract (EB60, n=8)</w:t>
      </w:r>
      <w:r w:rsidR="00BE349D">
        <w:rPr>
          <w:rFonts w:ascii="Arial" w:hAnsi="Arial" w:cs="Arial"/>
          <w:sz w:val="24"/>
          <w:szCs w:val="24"/>
          <w:lang w:val="en-US"/>
        </w:rPr>
        <w:t>;</w:t>
      </w:r>
      <w:r w:rsidR="005A556F" w:rsidRPr="005A556F">
        <w:rPr>
          <w:rFonts w:ascii="Arial" w:hAnsi="Arial" w:cs="Arial"/>
          <w:sz w:val="24"/>
          <w:szCs w:val="24"/>
          <w:lang w:val="en-US"/>
        </w:rPr>
        <w:t xml:space="preserve"> </w:t>
      </w:r>
      <w:r w:rsidR="00BE349D">
        <w:rPr>
          <w:rFonts w:ascii="Arial" w:hAnsi="Arial" w:cs="Arial"/>
          <w:sz w:val="24"/>
          <w:szCs w:val="24"/>
          <w:lang w:val="en-US"/>
        </w:rPr>
        <w:t xml:space="preserve">3) </w:t>
      </w:r>
      <w:r w:rsidR="005A556F" w:rsidRPr="005A556F">
        <w:rPr>
          <w:rFonts w:ascii="Arial" w:hAnsi="Arial" w:cs="Arial"/>
          <w:sz w:val="24"/>
          <w:szCs w:val="24"/>
          <w:lang w:val="en-US"/>
        </w:rPr>
        <w:t xml:space="preserve">diabetic (DIA, 0.9% saline, n=4) and </w:t>
      </w:r>
      <w:r w:rsidR="00BE349D">
        <w:rPr>
          <w:rFonts w:ascii="Arial" w:hAnsi="Arial" w:cs="Arial"/>
          <w:sz w:val="24"/>
          <w:szCs w:val="24"/>
          <w:lang w:val="en-US"/>
        </w:rPr>
        <w:t xml:space="preserve">4) </w:t>
      </w:r>
      <w:r w:rsidR="005A556F" w:rsidRPr="005A556F">
        <w:rPr>
          <w:rFonts w:ascii="Arial" w:hAnsi="Arial" w:cs="Arial"/>
          <w:sz w:val="24"/>
          <w:szCs w:val="24"/>
          <w:lang w:val="en-US"/>
        </w:rPr>
        <w:t xml:space="preserve">diabetic + extract (DIA+EB60, n=4). </w:t>
      </w:r>
      <w:r w:rsidR="00BE349D" w:rsidRPr="00BE349D">
        <w:rPr>
          <w:rFonts w:ascii="Arial" w:hAnsi="Arial" w:cs="Arial"/>
          <w:sz w:val="24"/>
          <w:szCs w:val="24"/>
          <w:lang w:val="en-US"/>
        </w:rPr>
        <w:t>After treatment, fasting blood glucose was measured following tail vein puncture and the animals were euthanized for blood and liver collection.</w:t>
      </w:r>
      <w:r w:rsidR="004F2D46">
        <w:rPr>
          <w:rFonts w:ascii="Arial" w:hAnsi="Arial" w:cs="Arial"/>
          <w:sz w:val="24"/>
          <w:szCs w:val="24"/>
          <w:lang w:val="en-US"/>
        </w:rPr>
        <w:t xml:space="preserve"> </w:t>
      </w:r>
      <w:r w:rsidR="009A4B56">
        <w:rPr>
          <w:rFonts w:ascii="Arial" w:hAnsi="Arial" w:cs="Arial"/>
          <w:sz w:val="24"/>
          <w:szCs w:val="24"/>
          <w:lang w:val="en-US"/>
        </w:rPr>
        <w:t>Blood and liver r</w:t>
      </w:r>
      <w:r w:rsidR="004F2D46">
        <w:rPr>
          <w:rFonts w:ascii="Arial" w:hAnsi="Arial" w:cs="Arial"/>
          <w:sz w:val="24"/>
          <w:szCs w:val="24"/>
          <w:lang w:val="en-US"/>
        </w:rPr>
        <w:t xml:space="preserve">educed glutathione/oxidized glutathione (GSH/GSSG) ratio and antioxidant enzyme activities were measured </w:t>
      </w:r>
      <w:r w:rsidR="000A66E8">
        <w:rPr>
          <w:rFonts w:ascii="Arial" w:hAnsi="Arial" w:cs="Arial"/>
          <w:sz w:val="24"/>
          <w:szCs w:val="24"/>
          <w:lang w:val="en-US"/>
        </w:rPr>
        <w:t>by spectrophotometric methods. Serum m</w:t>
      </w:r>
      <w:r w:rsidR="000A66E8" w:rsidRPr="000A66E8">
        <w:rPr>
          <w:rFonts w:ascii="Arial" w:hAnsi="Arial" w:cs="Arial"/>
          <w:sz w:val="24"/>
          <w:szCs w:val="24"/>
          <w:lang w:val="en"/>
        </w:rPr>
        <w:t xml:space="preserve">alondialdehyde </w:t>
      </w:r>
      <w:r w:rsidR="000A66E8">
        <w:rPr>
          <w:rFonts w:ascii="Arial" w:hAnsi="Arial" w:cs="Arial"/>
          <w:sz w:val="24"/>
          <w:szCs w:val="24"/>
          <w:lang w:val="en"/>
        </w:rPr>
        <w:t xml:space="preserve">(MDA) </w:t>
      </w:r>
      <w:r w:rsidR="000A66E8" w:rsidRPr="000A66E8">
        <w:rPr>
          <w:rFonts w:ascii="Arial" w:hAnsi="Arial" w:cs="Arial"/>
          <w:sz w:val="24"/>
          <w:szCs w:val="24"/>
          <w:lang w:val="en"/>
        </w:rPr>
        <w:t>levels</w:t>
      </w:r>
      <w:r w:rsidR="000A66E8">
        <w:rPr>
          <w:rFonts w:ascii="Arial" w:hAnsi="Arial" w:cs="Arial"/>
          <w:sz w:val="24"/>
          <w:szCs w:val="24"/>
          <w:lang w:val="en"/>
        </w:rPr>
        <w:t xml:space="preserve"> were assessed by </w:t>
      </w:r>
      <w:r w:rsidR="000A66E8" w:rsidRPr="00FA7E31">
        <w:rPr>
          <w:rFonts w:ascii="Arial" w:hAnsi="Arial" w:cs="Arial"/>
          <w:sz w:val="24"/>
          <w:szCs w:val="24"/>
          <w:lang w:val="en-US"/>
        </w:rPr>
        <w:t>high performance liquid chromatography with photodiode array detection (</w:t>
      </w:r>
      <w:r w:rsidR="000A66E8" w:rsidRPr="00FA7E31">
        <w:rPr>
          <w:rStyle w:val="nfase"/>
          <w:rFonts w:ascii="Arial" w:hAnsi="Arial" w:cs="Arial"/>
          <w:i w:val="0"/>
          <w:iCs w:val="0"/>
          <w:sz w:val="24"/>
          <w:szCs w:val="24"/>
          <w:lang w:val="en-US"/>
        </w:rPr>
        <w:t>HPLC</w:t>
      </w:r>
      <w:r w:rsidR="000A66E8" w:rsidRPr="00FA7E31">
        <w:rPr>
          <w:rFonts w:ascii="Arial" w:hAnsi="Arial" w:cs="Arial"/>
          <w:i/>
          <w:iCs/>
          <w:sz w:val="24"/>
          <w:szCs w:val="24"/>
          <w:lang w:val="en-US"/>
        </w:rPr>
        <w:t>-</w:t>
      </w:r>
      <w:r w:rsidR="000A66E8" w:rsidRPr="00FA7E31">
        <w:rPr>
          <w:rStyle w:val="nfase"/>
          <w:rFonts w:ascii="Arial" w:hAnsi="Arial" w:cs="Arial"/>
          <w:i w:val="0"/>
          <w:iCs w:val="0"/>
          <w:sz w:val="24"/>
          <w:szCs w:val="24"/>
          <w:lang w:val="en-US"/>
        </w:rPr>
        <w:t>PDA</w:t>
      </w:r>
      <w:r w:rsidR="000A66E8" w:rsidRPr="00FA7E31">
        <w:rPr>
          <w:rFonts w:ascii="Arial" w:hAnsi="Arial" w:cs="Arial"/>
          <w:sz w:val="24"/>
          <w:szCs w:val="24"/>
          <w:lang w:val="en-US"/>
        </w:rPr>
        <w:t xml:space="preserve">​). </w:t>
      </w:r>
      <w:r w:rsidR="009A4B56" w:rsidRPr="009A4B56">
        <w:rPr>
          <w:rFonts w:ascii="Arial" w:eastAsia="Times New Roman" w:hAnsi="Arial" w:cs="Arial"/>
          <w:sz w:val="24"/>
          <w:szCs w:val="24"/>
          <w:lang w:val="en" w:eastAsia="pt-BR"/>
        </w:rPr>
        <w:t xml:space="preserve">Rats induced with </w:t>
      </w:r>
      <w:r w:rsidR="009A4B56" w:rsidRPr="0078391F">
        <w:rPr>
          <w:rFonts w:ascii="Arial" w:hAnsi="Arial" w:cs="Arial"/>
          <w:sz w:val="24"/>
          <w:szCs w:val="24"/>
          <w:lang w:val="en-US"/>
        </w:rPr>
        <w:t xml:space="preserve">T2DM model </w:t>
      </w:r>
      <w:r w:rsidR="009A4B56">
        <w:rPr>
          <w:rFonts w:ascii="Arial" w:hAnsi="Arial" w:cs="Arial"/>
          <w:sz w:val="24"/>
          <w:szCs w:val="24"/>
          <w:lang w:val="en"/>
        </w:rPr>
        <w:t>have shown</w:t>
      </w:r>
      <w:r w:rsidR="009A4B56" w:rsidRPr="009A4B56">
        <w:rPr>
          <w:rFonts w:ascii="Arial" w:hAnsi="Arial" w:cs="Arial"/>
          <w:sz w:val="24"/>
          <w:szCs w:val="24"/>
          <w:lang w:val="en"/>
        </w:rPr>
        <w:t xml:space="preserve"> an increase in blood </w:t>
      </w:r>
      <w:r w:rsidR="0078391F">
        <w:rPr>
          <w:rFonts w:ascii="Arial" w:hAnsi="Arial" w:cs="Arial"/>
          <w:sz w:val="24"/>
          <w:szCs w:val="24"/>
          <w:lang w:val="en"/>
        </w:rPr>
        <w:t>superoxide dismutase (</w:t>
      </w:r>
      <w:r w:rsidR="009A4B56" w:rsidRPr="009A4B56">
        <w:rPr>
          <w:rFonts w:ascii="Arial" w:hAnsi="Arial" w:cs="Arial"/>
          <w:sz w:val="24"/>
          <w:szCs w:val="24"/>
          <w:lang w:val="en"/>
        </w:rPr>
        <w:t>SOD</w:t>
      </w:r>
      <w:r w:rsidR="0078391F">
        <w:rPr>
          <w:rFonts w:ascii="Arial" w:hAnsi="Arial" w:cs="Arial"/>
          <w:sz w:val="24"/>
          <w:szCs w:val="24"/>
          <w:lang w:val="en"/>
        </w:rPr>
        <w:t>)</w:t>
      </w:r>
      <w:r w:rsidR="009A4B56" w:rsidRPr="009A4B56">
        <w:rPr>
          <w:rFonts w:ascii="Arial" w:hAnsi="Arial" w:cs="Arial"/>
          <w:sz w:val="24"/>
          <w:szCs w:val="24"/>
          <w:lang w:val="en"/>
        </w:rPr>
        <w:t xml:space="preserve"> activity</w:t>
      </w:r>
      <w:r w:rsidR="009A4B56">
        <w:rPr>
          <w:rFonts w:ascii="Arial" w:hAnsi="Arial" w:cs="Arial"/>
          <w:sz w:val="24"/>
          <w:szCs w:val="24"/>
          <w:lang w:val="en"/>
        </w:rPr>
        <w:t xml:space="preserve"> compared to control, EB60 and DIA+EB60 groups (25.49 </w:t>
      </w:r>
      <w:r w:rsidR="009A4B56" w:rsidRPr="005A556F">
        <w:rPr>
          <w:rFonts w:ascii="Arial" w:hAnsi="Arial" w:cs="Arial"/>
          <w:sz w:val="24"/>
          <w:szCs w:val="24"/>
          <w:lang w:val="en-US"/>
        </w:rPr>
        <w:t>±</w:t>
      </w:r>
      <w:r w:rsidR="009A4B56">
        <w:rPr>
          <w:rFonts w:ascii="Arial" w:hAnsi="Arial" w:cs="Arial"/>
          <w:sz w:val="24"/>
          <w:szCs w:val="24"/>
          <w:lang w:val="en-US"/>
        </w:rPr>
        <w:t xml:space="preserve"> 4.88 </w:t>
      </w:r>
      <w:r w:rsidR="009A4B56" w:rsidRPr="009A4B56">
        <w:rPr>
          <w:rFonts w:ascii="Arial" w:hAnsi="Arial" w:cs="Arial"/>
          <w:i/>
          <w:iCs/>
          <w:sz w:val="24"/>
          <w:szCs w:val="24"/>
          <w:lang w:val="en"/>
        </w:rPr>
        <w:t>versus</w:t>
      </w:r>
      <w:r w:rsidR="009A4B56">
        <w:rPr>
          <w:rFonts w:ascii="Arial" w:hAnsi="Arial" w:cs="Arial"/>
          <w:sz w:val="24"/>
          <w:szCs w:val="24"/>
          <w:lang w:val="en"/>
        </w:rPr>
        <w:t xml:space="preserve"> 12.32 </w:t>
      </w:r>
      <w:r w:rsidR="009A4B56" w:rsidRPr="005A556F">
        <w:rPr>
          <w:rFonts w:ascii="Arial" w:hAnsi="Arial" w:cs="Arial"/>
          <w:sz w:val="24"/>
          <w:szCs w:val="24"/>
          <w:lang w:val="en-US"/>
        </w:rPr>
        <w:t>±</w:t>
      </w:r>
      <w:r w:rsidR="009A4B56">
        <w:rPr>
          <w:rFonts w:ascii="Arial" w:hAnsi="Arial" w:cs="Arial"/>
          <w:sz w:val="24"/>
          <w:szCs w:val="24"/>
          <w:lang w:val="en"/>
        </w:rPr>
        <w:t xml:space="preserve"> 1.24, 15.91 </w:t>
      </w:r>
      <w:r w:rsidR="009A4B56" w:rsidRPr="005A556F">
        <w:rPr>
          <w:rFonts w:ascii="Arial" w:hAnsi="Arial" w:cs="Arial"/>
          <w:sz w:val="24"/>
          <w:szCs w:val="24"/>
          <w:lang w:val="en-US"/>
        </w:rPr>
        <w:t>±</w:t>
      </w:r>
      <w:r w:rsidR="009A4B56">
        <w:rPr>
          <w:rFonts w:ascii="Arial" w:hAnsi="Arial" w:cs="Arial"/>
          <w:sz w:val="24"/>
          <w:szCs w:val="24"/>
          <w:lang w:val="en-US"/>
        </w:rPr>
        <w:t xml:space="preserve"> </w:t>
      </w:r>
      <w:r w:rsidR="009A4B56">
        <w:rPr>
          <w:rFonts w:ascii="Arial" w:hAnsi="Arial" w:cs="Arial"/>
          <w:sz w:val="24"/>
          <w:szCs w:val="24"/>
          <w:lang w:val="en"/>
        </w:rPr>
        <w:t xml:space="preserve">2.08 and 13.85 </w:t>
      </w:r>
      <w:r w:rsidR="009A4B56" w:rsidRPr="005A556F">
        <w:rPr>
          <w:rFonts w:ascii="Arial" w:hAnsi="Arial" w:cs="Arial"/>
          <w:sz w:val="24"/>
          <w:szCs w:val="24"/>
          <w:lang w:val="en-US"/>
        </w:rPr>
        <w:t>±</w:t>
      </w:r>
      <w:r w:rsidR="009A4B56">
        <w:rPr>
          <w:rFonts w:ascii="Arial" w:hAnsi="Arial" w:cs="Arial"/>
          <w:sz w:val="24"/>
          <w:szCs w:val="24"/>
          <w:lang w:val="en"/>
        </w:rPr>
        <w:t xml:space="preserve"> 1.82 U SOD mg Hb</w:t>
      </w:r>
      <w:r w:rsidR="009A4B56" w:rsidRPr="009A4B56">
        <w:rPr>
          <w:rFonts w:ascii="Arial" w:hAnsi="Arial" w:cs="Arial"/>
          <w:sz w:val="24"/>
          <w:szCs w:val="24"/>
          <w:vertAlign w:val="superscript"/>
          <w:lang w:val="en"/>
        </w:rPr>
        <w:t>-1</w:t>
      </w:r>
      <w:r w:rsidR="009A4B56" w:rsidRPr="009A4B56">
        <w:rPr>
          <w:rFonts w:ascii="Arial" w:hAnsi="Arial" w:cs="Arial"/>
          <w:sz w:val="24"/>
          <w:szCs w:val="24"/>
          <w:lang w:val="en"/>
        </w:rPr>
        <w:t xml:space="preserve">, </w:t>
      </w:r>
      <w:r w:rsidR="009A4B56">
        <w:rPr>
          <w:rFonts w:ascii="Arial" w:hAnsi="Arial" w:cs="Arial"/>
          <w:sz w:val="24"/>
          <w:szCs w:val="24"/>
          <w:lang w:val="en"/>
        </w:rPr>
        <w:t xml:space="preserve">respectively, p&lt;0.05, ANOVA/Tukey). </w:t>
      </w:r>
      <w:r w:rsidR="0078391F" w:rsidRPr="00FA7E31">
        <w:rPr>
          <w:rFonts w:ascii="Arial" w:hAnsi="Arial" w:cs="Arial"/>
          <w:sz w:val="24"/>
          <w:szCs w:val="24"/>
          <w:lang w:val="en-US"/>
        </w:rPr>
        <w:t xml:space="preserve">Other oxidative stress parameters were not changed neither by the T2DM model nor by the </w:t>
      </w:r>
      <w:r w:rsidR="0078391F" w:rsidRPr="00FA7E31">
        <w:rPr>
          <w:rFonts w:ascii="Arial" w:hAnsi="Arial" w:cs="Arial"/>
          <w:i/>
          <w:iCs/>
          <w:sz w:val="24"/>
          <w:szCs w:val="24"/>
          <w:lang w:val="en-US"/>
        </w:rPr>
        <w:t>E. involucrata</w:t>
      </w:r>
      <w:r w:rsidR="0078391F" w:rsidRPr="00FA7E31">
        <w:rPr>
          <w:rFonts w:ascii="Arial" w:hAnsi="Arial" w:cs="Arial"/>
          <w:sz w:val="24"/>
          <w:szCs w:val="24"/>
          <w:lang w:val="en-US"/>
        </w:rPr>
        <w:t xml:space="preserve"> extract. </w:t>
      </w:r>
      <w:r w:rsidR="00FD4AF2" w:rsidRPr="00FA7E31">
        <w:rPr>
          <w:rFonts w:ascii="Arial" w:hAnsi="Arial" w:cs="Arial"/>
          <w:sz w:val="24"/>
          <w:szCs w:val="24"/>
          <w:lang w:val="en-US"/>
        </w:rPr>
        <w:t>Overall, t</w:t>
      </w:r>
      <w:r w:rsidR="00FD4AF2" w:rsidRPr="00FD4AF2">
        <w:rPr>
          <w:rFonts w:ascii="Arial" w:eastAsia="Times New Roman" w:hAnsi="Arial" w:cs="Arial"/>
          <w:sz w:val="24"/>
          <w:szCs w:val="24"/>
          <w:lang w:val="en" w:eastAsia="pt-BR"/>
        </w:rPr>
        <w:t>he return of blood SOD activity to control group levels when diabetic rats received EB60 suggests a possible indirect antioxidant effect for this extract.</w:t>
      </w:r>
      <w:r w:rsidR="00FD4AF2" w:rsidRPr="00FA7E3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FD4AF2" w:rsidRPr="00FD4AF2">
        <w:rPr>
          <w:rFonts w:ascii="Arial" w:eastAsia="Times New Roman" w:hAnsi="Arial" w:cs="Arial"/>
          <w:sz w:val="24"/>
          <w:szCs w:val="24"/>
          <w:lang w:val="en" w:eastAsia="pt-BR"/>
        </w:rPr>
        <w:t xml:space="preserve">Our study still needs sample size complementation to </w:t>
      </w:r>
      <w:r w:rsidR="00FD4AF2">
        <w:rPr>
          <w:rFonts w:ascii="Arial" w:eastAsia="Times New Roman" w:hAnsi="Arial" w:cs="Arial"/>
          <w:sz w:val="24"/>
          <w:szCs w:val="24"/>
          <w:lang w:val="en" w:eastAsia="pt-BR"/>
        </w:rPr>
        <w:t>corroborate</w:t>
      </w:r>
      <w:r w:rsidR="00FD4AF2" w:rsidRPr="00FD4AF2">
        <w:rPr>
          <w:rFonts w:ascii="Arial" w:eastAsia="Times New Roman" w:hAnsi="Arial" w:cs="Arial"/>
          <w:sz w:val="24"/>
          <w:szCs w:val="24"/>
          <w:lang w:val="en" w:eastAsia="pt-BR"/>
        </w:rPr>
        <w:t xml:space="preserve"> the effects of both T2DM model and EB60 extract on the oxidative status of diabetic rats</w:t>
      </w:r>
      <w:r w:rsidR="00FD4AF2">
        <w:rPr>
          <w:rFonts w:ascii="Arial" w:eastAsia="Times New Roman" w:hAnsi="Arial" w:cs="Arial"/>
          <w:sz w:val="24"/>
          <w:szCs w:val="24"/>
          <w:lang w:val="en" w:eastAsia="pt-BR"/>
        </w:rPr>
        <w:t>, as well as the significance of such effects.</w:t>
      </w:r>
      <w:r w:rsidR="00FD4AF2" w:rsidRPr="00FD4AF2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</w:p>
    <w:p w14:paraId="599992BC" w14:textId="4835D997" w:rsidR="00BE349D" w:rsidRDefault="00BE349D" w:rsidP="00C548AC">
      <w:pPr>
        <w:pStyle w:val="Pr-formataoHTML"/>
        <w:jc w:val="both"/>
        <w:rPr>
          <w:rFonts w:ascii="Arial" w:hAnsi="Arial" w:cs="Arial"/>
          <w:sz w:val="24"/>
          <w:szCs w:val="24"/>
          <w:lang w:val="en-US"/>
        </w:rPr>
      </w:pPr>
    </w:p>
    <w:p w14:paraId="65ED236E" w14:textId="77777777" w:rsidR="00561135" w:rsidRPr="00D015BE" w:rsidRDefault="00561135" w:rsidP="003A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3CF034BD" w14:textId="5C49EDFD" w:rsidR="00CA40BA" w:rsidRPr="00D015BE" w:rsidRDefault="00CA40BA" w:rsidP="00CA40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b/>
          <w:sz w:val="24"/>
          <w:szCs w:val="24"/>
          <w:lang w:val="en-US"/>
        </w:rPr>
        <w:t>Keywords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: </w:t>
      </w:r>
      <w:r w:rsidR="005611FD">
        <w:rPr>
          <w:rFonts w:ascii="Arial" w:hAnsi="Arial" w:cs="Arial"/>
          <w:sz w:val="24"/>
          <w:szCs w:val="24"/>
          <w:lang w:val="en-US"/>
        </w:rPr>
        <w:t xml:space="preserve">bioactive compounds, </w:t>
      </w:r>
      <w:r w:rsidR="00235DAF">
        <w:rPr>
          <w:rFonts w:ascii="Arial" w:hAnsi="Arial" w:cs="Arial"/>
          <w:sz w:val="24"/>
          <w:szCs w:val="24"/>
          <w:lang w:val="en-US"/>
        </w:rPr>
        <w:t>antioxidant activity</w:t>
      </w:r>
      <w:r w:rsidR="005611FD">
        <w:rPr>
          <w:rFonts w:ascii="Arial" w:hAnsi="Arial" w:cs="Arial"/>
          <w:sz w:val="24"/>
          <w:szCs w:val="24"/>
          <w:lang w:val="en-US"/>
        </w:rPr>
        <w:t xml:space="preserve">, </w:t>
      </w:r>
      <w:r w:rsidR="005A556F">
        <w:rPr>
          <w:rFonts w:ascii="Arial" w:hAnsi="Arial" w:cs="Arial"/>
          <w:sz w:val="24"/>
          <w:szCs w:val="24"/>
          <w:lang w:val="en-US"/>
        </w:rPr>
        <w:t>cherry</w:t>
      </w:r>
      <w:r w:rsidR="00E454F6">
        <w:rPr>
          <w:rFonts w:ascii="Arial" w:hAnsi="Arial" w:cs="Arial"/>
          <w:sz w:val="24"/>
          <w:szCs w:val="24"/>
          <w:lang w:val="en-US"/>
        </w:rPr>
        <w:t xml:space="preserve"> </w:t>
      </w:r>
      <w:r w:rsidR="005A556F">
        <w:rPr>
          <w:rFonts w:ascii="Arial" w:hAnsi="Arial" w:cs="Arial"/>
          <w:sz w:val="24"/>
          <w:szCs w:val="24"/>
          <w:lang w:val="en-US"/>
        </w:rPr>
        <w:t>of</w:t>
      </w:r>
      <w:r w:rsidR="00E454F6">
        <w:rPr>
          <w:rFonts w:ascii="Arial" w:hAnsi="Arial" w:cs="Arial"/>
          <w:sz w:val="24"/>
          <w:szCs w:val="24"/>
          <w:lang w:val="en-US"/>
        </w:rPr>
        <w:t xml:space="preserve"> the </w:t>
      </w:r>
      <w:r w:rsidR="005A556F">
        <w:rPr>
          <w:rFonts w:ascii="Arial" w:hAnsi="Arial" w:cs="Arial"/>
          <w:sz w:val="24"/>
          <w:szCs w:val="24"/>
          <w:lang w:val="en-US"/>
        </w:rPr>
        <w:t>Ri</w:t>
      </w:r>
      <w:r w:rsidR="0084065E">
        <w:rPr>
          <w:rFonts w:ascii="Arial" w:hAnsi="Arial" w:cs="Arial"/>
          <w:sz w:val="24"/>
          <w:szCs w:val="24"/>
          <w:lang w:val="en-US"/>
        </w:rPr>
        <w:t xml:space="preserve">o </w:t>
      </w:r>
      <w:r w:rsidR="005A556F">
        <w:rPr>
          <w:rFonts w:ascii="Arial" w:hAnsi="Arial" w:cs="Arial"/>
          <w:sz w:val="24"/>
          <w:szCs w:val="24"/>
          <w:lang w:val="en-US"/>
        </w:rPr>
        <w:t xml:space="preserve">Grande, </w:t>
      </w:r>
      <w:r w:rsidR="00C87FAB">
        <w:rPr>
          <w:rFonts w:ascii="Arial" w:hAnsi="Arial" w:cs="Arial"/>
          <w:sz w:val="24"/>
          <w:szCs w:val="24"/>
          <w:lang w:val="en-US"/>
        </w:rPr>
        <w:t>diabetes</w:t>
      </w:r>
    </w:p>
    <w:p w14:paraId="662410B9" w14:textId="20632408" w:rsidR="00CA40BA" w:rsidRPr="00D015BE" w:rsidRDefault="00CA40BA" w:rsidP="00F24713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10A26FC9" w14:textId="7FC49971" w:rsidR="00CA40BA" w:rsidRDefault="00F24713" w:rsidP="00CA40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sz w:val="24"/>
          <w:szCs w:val="24"/>
          <w:lang w:val="en-US"/>
        </w:rPr>
        <w:t>A</w:t>
      </w:r>
      <w:r w:rsidR="00CA40BA" w:rsidRPr="00D015BE">
        <w:rPr>
          <w:rFonts w:ascii="Arial" w:hAnsi="Arial" w:cs="Arial"/>
          <w:sz w:val="24"/>
          <w:szCs w:val="24"/>
          <w:lang w:val="en-US"/>
        </w:rPr>
        <w:t>ckn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owledgments: </w:t>
      </w:r>
      <w:r w:rsidR="0084065E" w:rsidRPr="006C5581">
        <w:rPr>
          <w:rFonts w:ascii="Arial" w:hAnsi="Arial" w:cs="Arial"/>
          <w:sz w:val="24"/>
          <w:szCs w:val="24"/>
          <w:lang w:val="en-US"/>
        </w:rPr>
        <w:t>CNPq [grant numbers 443331/2016-2 and 303654/2017-1], CAPES [Finance code 001]</w:t>
      </w:r>
    </w:p>
    <w:p w14:paraId="343F8142" w14:textId="034E888A" w:rsidR="008347D1" w:rsidRDefault="008347D1" w:rsidP="00CA40B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6D8B526" w14:textId="77777777" w:rsidR="008347D1" w:rsidRPr="00D015BE" w:rsidRDefault="008347D1" w:rsidP="00CA40BA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8347D1" w:rsidRPr="00D015BE" w:rsidSect="00A17C15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1173" w14:textId="77777777" w:rsidR="00796225" w:rsidRDefault="00796225" w:rsidP="005D5043">
      <w:r>
        <w:separator/>
      </w:r>
    </w:p>
  </w:endnote>
  <w:endnote w:type="continuationSeparator" w:id="0">
    <w:p w14:paraId="335CF9A5" w14:textId="77777777" w:rsidR="00796225" w:rsidRDefault="00796225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6BC6" w14:textId="77777777" w:rsidR="00763ABA" w:rsidRDefault="00685029" w:rsidP="00BD2434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DBAF" w14:textId="77777777" w:rsidR="00796225" w:rsidRDefault="00796225" w:rsidP="005D5043">
      <w:r>
        <w:separator/>
      </w:r>
    </w:p>
  </w:footnote>
  <w:footnote w:type="continuationSeparator" w:id="0">
    <w:p w14:paraId="3CD51B4D" w14:textId="77777777" w:rsidR="00796225" w:rsidRDefault="00796225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BD2434" w14:paraId="300E240C" w14:textId="77777777" w:rsidTr="00BD2434">
      <w:tc>
        <w:tcPr>
          <w:tcW w:w="9494" w:type="dxa"/>
          <w:vAlign w:val="center"/>
        </w:tcPr>
        <w:p w14:paraId="2CFAE41E" w14:textId="3EBB252D" w:rsidR="00BD2434" w:rsidRDefault="00572681" w:rsidP="00685029">
          <w:pPr>
            <w:pStyle w:val="Cabealho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658E4C8" wp14:editId="5F1CCA9F">
                <wp:simplePos x="0" y="0"/>
                <wp:positionH relativeFrom="column">
                  <wp:posOffset>-6985</wp:posOffset>
                </wp:positionH>
                <wp:positionV relativeFrom="paragraph">
                  <wp:posOffset>-1905</wp:posOffset>
                </wp:positionV>
                <wp:extent cx="594360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31" y="21268"/>
                    <wp:lineTo x="21531" y="0"/>
                    <wp:lineTo x="0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CBA - Logo fundo branc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989AF56" w14:textId="25C98334" w:rsidR="00BD2434" w:rsidRPr="00BD2434" w:rsidRDefault="00BD2434" w:rsidP="00685029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5"/>
    <w:rsid w:val="00001B60"/>
    <w:rsid w:val="00003674"/>
    <w:rsid w:val="00007F1C"/>
    <w:rsid w:val="00015754"/>
    <w:rsid w:val="00025C9A"/>
    <w:rsid w:val="00056D5A"/>
    <w:rsid w:val="00067517"/>
    <w:rsid w:val="00071EF6"/>
    <w:rsid w:val="000A66E8"/>
    <w:rsid w:val="000B3ACA"/>
    <w:rsid w:val="000B6784"/>
    <w:rsid w:val="000D08B0"/>
    <w:rsid w:val="000F6955"/>
    <w:rsid w:val="000F6CBB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45BCD"/>
    <w:rsid w:val="00173555"/>
    <w:rsid w:val="00176BD8"/>
    <w:rsid w:val="001B341D"/>
    <w:rsid w:val="001C0B32"/>
    <w:rsid w:val="001C3D9D"/>
    <w:rsid w:val="001D5FBD"/>
    <w:rsid w:val="001E6996"/>
    <w:rsid w:val="001F13D3"/>
    <w:rsid w:val="00216585"/>
    <w:rsid w:val="00226261"/>
    <w:rsid w:val="00235DAF"/>
    <w:rsid w:val="00240FF2"/>
    <w:rsid w:val="00251FF0"/>
    <w:rsid w:val="00256A15"/>
    <w:rsid w:val="00270C70"/>
    <w:rsid w:val="002966C4"/>
    <w:rsid w:val="002A5011"/>
    <w:rsid w:val="002B4093"/>
    <w:rsid w:val="002C44AE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A6FDD"/>
    <w:rsid w:val="003B145F"/>
    <w:rsid w:val="003B70C3"/>
    <w:rsid w:val="003D56F2"/>
    <w:rsid w:val="003F2E76"/>
    <w:rsid w:val="003F510F"/>
    <w:rsid w:val="0041748D"/>
    <w:rsid w:val="00443FCC"/>
    <w:rsid w:val="00450621"/>
    <w:rsid w:val="00476802"/>
    <w:rsid w:val="0049699F"/>
    <w:rsid w:val="004A496F"/>
    <w:rsid w:val="004A55DF"/>
    <w:rsid w:val="004B7BF1"/>
    <w:rsid w:val="004D2748"/>
    <w:rsid w:val="004F0D39"/>
    <w:rsid w:val="004F2D46"/>
    <w:rsid w:val="004F311A"/>
    <w:rsid w:val="004F3601"/>
    <w:rsid w:val="00510A81"/>
    <w:rsid w:val="0051373B"/>
    <w:rsid w:val="0051516F"/>
    <w:rsid w:val="0052465C"/>
    <w:rsid w:val="00524886"/>
    <w:rsid w:val="00543647"/>
    <w:rsid w:val="00561135"/>
    <w:rsid w:val="005611FD"/>
    <w:rsid w:val="00571636"/>
    <w:rsid w:val="00572681"/>
    <w:rsid w:val="00573F34"/>
    <w:rsid w:val="005762E4"/>
    <w:rsid w:val="00584E99"/>
    <w:rsid w:val="0059340A"/>
    <w:rsid w:val="005A556F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75D87"/>
    <w:rsid w:val="00681482"/>
    <w:rsid w:val="00685029"/>
    <w:rsid w:val="006921B5"/>
    <w:rsid w:val="00694DCF"/>
    <w:rsid w:val="006D1720"/>
    <w:rsid w:val="00715E55"/>
    <w:rsid w:val="00724793"/>
    <w:rsid w:val="0073076A"/>
    <w:rsid w:val="00734B47"/>
    <w:rsid w:val="00737A2F"/>
    <w:rsid w:val="007427B5"/>
    <w:rsid w:val="00755845"/>
    <w:rsid w:val="00763ABA"/>
    <w:rsid w:val="00773768"/>
    <w:rsid w:val="00781457"/>
    <w:rsid w:val="0078391F"/>
    <w:rsid w:val="007851E5"/>
    <w:rsid w:val="0079405B"/>
    <w:rsid w:val="00796225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347D1"/>
    <w:rsid w:val="0084065E"/>
    <w:rsid w:val="00845C55"/>
    <w:rsid w:val="008515A9"/>
    <w:rsid w:val="0086663D"/>
    <w:rsid w:val="0087542B"/>
    <w:rsid w:val="00877430"/>
    <w:rsid w:val="00892D52"/>
    <w:rsid w:val="0089729F"/>
    <w:rsid w:val="008A3359"/>
    <w:rsid w:val="008A7749"/>
    <w:rsid w:val="008C2336"/>
    <w:rsid w:val="008C34C2"/>
    <w:rsid w:val="008C55A4"/>
    <w:rsid w:val="008C6220"/>
    <w:rsid w:val="008D0D94"/>
    <w:rsid w:val="008D5908"/>
    <w:rsid w:val="008D6980"/>
    <w:rsid w:val="008E71AB"/>
    <w:rsid w:val="00901696"/>
    <w:rsid w:val="00905607"/>
    <w:rsid w:val="00914999"/>
    <w:rsid w:val="0092111C"/>
    <w:rsid w:val="00921C1E"/>
    <w:rsid w:val="00925445"/>
    <w:rsid w:val="00944A20"/>
    <w:rsid w:val="00954114"/>
    <w:rsid w:val="00957962"/>
    <w:rsid w:val="00960E5E"/>
    <w:rsid w:val="00962CB6"/>
    <w:rsid w:val="00973CC7"/>
    <w:rsid w:val="00974B92"/>
    <w:rsid w:val="00976411"/>
    <w:rsid w:val="009766DA"/>
    <w:rsid w:val="00985C66"/>
    <w:rsid w:val="009A3EAF"/>
    <w:rsid w:val="009A4B56"/>
    <w:rsid w:val="009B4CAE"/>
    <w:rsid w:val="009C2F13"/>
    <w:rsid w:val="009D54CB"/>
    <w:rsid w:val="009F61D0"/>
    <w:rsid w:val="00A01182"/>
    <w:rsid w:val="00A016A9"/>
    <w:rsid w:val="00A0760E"/>
    <w:rsid w:val="00A16549"/>
    <w:rsid w:val="00A17C15"/>
    <w:rsid w:val="00A20F69"/>
    <w:rsid w:val="00A23C67"/>
    <w:rsid w:val="00A2654C"/>
    <w:rsid w:val="00A34061"/>
    <w:rsid w:val="00A54C5F"/>
    <w:rsid w:val="00A939F5"/>
    <w:rsid w:val="00AA3C3B"/>
    <w:rsid w:val="00AA430D"/>
    <w:rsid w:val="00AB2056"/>
    <w:rsid w:val="00AC6354"/>
    <w:rsid w:val="00AD7170"/>
    <w:rsid w:val="00AD780C"/>
    <w:rsid w:val="00AF7D40"/>
    <w:rsid w:val="00B00C8E"/>
    <w:rsid w:val="00B01B39"/>
    <w:rsid w:val="00B17375"/>
    <w:rsid w:val="00B36261"/>
    <w:rsid w:val="00B443D5"/>
    <w:rsid w:val="00B674FE"/>
    <w:rsid w:val="00B80536"/>
    <w:rsid w:val="00B81253"/>
    <w:rsid w:val="00B8390F"/>
    <w:rsid w:val="00B86F5A"/>
    <w:rsid w:val="00BA7A2B"/>
    <w:rsid w:val="00BB052C"/>
    <w:rsid w:val="00BB6DFB"/>
    <w:rsid w:val="00BD2434"/>
    <w:rsid w:val="00BD4ED3"/>
    <w:rsid w:val="00BE349D"/>
    <w:rsid w:val="00BE5FD6"/>
    <w:rsid w:val="00C2516F"/>
    <w:rsid w:val="00C34AEE"/>
    <w:rsid w:val="00C45BFA"/>
    <w:rsid w:val="00C46E41"/>
    <w:rsid w:val="00C548AC"/>
    <w:rsid w:val="00C6302C"/>
    <w:rsid w:val="00C647E4"/>
    <w:rsid w:val="00C64D24"/>
    <w:rsid w:val="00C87FAB"/>
    <w:rsid w:val="00CA40BA"/>
    <w:rsid w:val="00CB1A48"/>
    <w:rsid w:val="00CD2434"/>
    <w:rsid w:val="00CD3774"/>
    <w:rsid w:val="00CD668D"/>
    <w:rsid w:val="00CE7775"/>
    <w:rsid w:val="00CE7B50"/>
    <w:rsid w:val="00CF19E4"/>
    <w:rsid w:val="00D00302"/>
    <w:rsid w:val="00D010D8"/>
    <w:rsid w:val="00D015BE"/>
    <w:rsid w:val="00D01E70"/>
    <w:rsid w:val="00D05ABB"/>
    <w:rsid w:val="00D20204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6996"/>
    <w:rsid w:val="00E40F17"/>
    <w:rsid w:val="00E454F6"/>
    <w:rsid w:val="00E6240F"/>
    <w:rsid w:val="00E924A2"/>
    <w:rsid w:val="00E97063"/>
    <w:rsid w:val="00E972D3"/>
    <w:rsid w:val="00EA2168"/>
    <w:rsid w:val="00EC0E11"/>
    <w:rsid w:val="00EC2173"/>
    <w:rsid w:val="00EC43C9"/>
    <w:rsid w:val="00ED0B99"/>
    <w:rsid w:val="00ED2290"/>
    <w:rsid w:val="00ED23AF"/>
    <w:rsid w:val="00ED6CE0"/>
    <w:rsid w:val="00EE104A"/>
    <w:rsid w:val="00EE4D1C"/>
    <w:rsid w:val="00F115B7"/>
    <w:rsid w:val="00F24713"/>
    <w:rsid w:val="00F31982"/>
    <w:rsid w:val="00F42341"/>
    <w:rsid w:val="00F461B5"/>
    <w:rsid w:val="00F50E6E"/>
    <w:rsid w:val="00F511D6"/>
    <w:rsid w:val="00F62788"/>
    <w:rsid w:val="00F818FE"/>
    <w:rsid w:val="00F848F5"/>
    <w:rsid w:val="00F90886"/>
    <w:rsid w:val="00F90E56"/>
    <w:rsid w:val="00F96DF8"/>
    <w:rsid w:val="00F97715"/>
    <w:rsid w:val="00FA7E31"/>
    <w:rsid w:val="00FB1B32"/>
    <w:rsid w:val="00FB231E"/>
    <w:rsid w:val="00FB3EA4"/>
    <w:rsid w:val="00FB6165"/>
    <w:rsid w:val="00FC4441"/>
    <w:rsid w:val="00FC7681"/>
    <w:rsid w:val="00FD027C"/>
    <w:rsid w:val="00FD1233"/>
    <w:rsid w:val="00FD1B76"/>
    <w:rsid w:val="00FD4AF2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BDD0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F6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CBB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0F6CBB"/>
  </w:style>
  <w:style w:type="character" w:styleId="Refdecomentrio">
    <w:name w:val="annotation reference"/>
    <w:basedOn w:val="Fontepargpadro"/>
    <w:semiHidden/>
    <w:unhideWhenUsed/>
    <w:rsid w:val="0049699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969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969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969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9699F"/>
    <w:rPr>
      <w:b/>
      <w:bCs/>
      <w:lang w:eastAsia="en-US"/>
    </w:rPr>
  </w:style>
  <w:style w:type="character" w:styleId="nfase">
    <w:name w:val="Emphasis"/>
    <w:basedOn w:val="Fontepargpadro"/>
    <w:uiPriority w:val="20"/>
    <w:qFormat/>
    <w:rsid w:val="000A6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Sabrina Somacal</cp:lastModifiedBy>
  <cp:revision>11</cp:revision>
  <cp:lastPrinted>2013-12-05T03:03:00Z</cp:lastPrinted>
  <dcterms:created xsi:type="dcterms:W3CDTF">2021-06-20T23:03:00Z</dcterms:created>
  <dcterms:modified xsi:type="dcterms:W3CDTF">2021-06-22T11:58:00Z</dcterms:modified>
</cp:coreProperties>
</file>